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4D3957AD" w14:textId="77777777" w:rsidTr="00D74AE1">
        <w:trPr>
          <w:trHeight w:hRule="exact" w:val="2948"/>
        </w:trPr>
        <w:tc>
          <w:tcPr>
            <w:tcW w:w="11185" w:type="dxa"/>
          </w:tcPr>
          <w:p w14:paraId="4D5B9393" w14:textId="085B7197" w:rsidR="00974E99" w:rsidRPr="00F55AD7" w:rsidRDefault="00974E99" w:rsidP="00CB1D11">
            <w:pPr>
              <w:pStyle w:val="Documenttype"/>
              <w:suppressAutoHyphens/>
            </w:pPr>
            <w:r w:rsidRPr="00F55AD7">
              <w:t xml:space="preserve">IALA </w:t>
            </w:r>
            <w:r w:rsidR="0093492E" w:rsidRPr="00F55AD7">
              <w:t>G</w:t>
            </w:r>
            <w:r w:rsidR="00722236" w:rsidRPr="00F55AD7">
              <w:t>uideline</w:t>
            </w:r>
          </w:p>
        </w:tc>
      </w:tr>
    </w:tbl>
    <w:p w14:paraId="2BE5698E" w14:textId="77777777" w:rsidR="008972C3" w:rsidRPr="00F55AD7" w:rsidRDefault="008972C3" w:rsidP="00CB1D11">
      <w:pPr>
        <w:suppressAutoHyphens/>
      </w:pPr>
    </w:p>
    <w:p w14:paraId="7EC69C9F" w14:textId="77777777" w:rsidR="00F96B92" w:rsidRDefault="00F96B92" w:rsidP="00CB1D11">
      <w:pPr>
        <w:pStyle w:val="Documentnumber"/>
        <w:suppressAutoHyphens/>
      </w:pPr>
    </w:p>
    <w:p w14:paraId="333E9E95" w14:textId="099A47F1" w:rsidR="0093492E" w:rsidRPr="00F55AD7" w:rsidRDefault="002735DD" w:rsidP="00CB1D11">
      <w:pPr>
        <w:pStyle w:val="Documentnumber"/>
        <w:suppressAutoHyphens/>
      </w:pPr>
      <w:r>
        <w:t>G</w:t>
      </w:r>
      <w:r w:rsidR="00161401" w:rsidRPr="00816CD3">
        <w:rPr>
          <w:highlight w:val="yellow"/>
        </w:rPr>
        <w:t>nnnn</w:t>
      </w:r>
      <w:r w:rsidR="0074084C">
        <w:t xml:space="preserve"> </w:t>
      </w:r>
    </w:p>
    <w:p w14:paraId="4E17FD8A" w14:textId="33E74C8A" w:rsidR="006B741A" w:rsidRDefault="000B103E" w:rsidP="006B741A">
      <w:pPr>
        <w:pStyle w:val="Documentname"/>
      </w:pPr>
      <w:r>
        <w:t xml:space="preserve">demonstrating </w:t>
      </w:r>
      <w:r w:rsidR="006B741A">
        <w:t xml:space="preserve">the contribution of VTS to </w:t>
      </w:r>
      <w:r w:rsidR="000C0864">
        <w:t>the safety of navigation and protection of the environment</w:t>
      </w:r>
    </w:p>
    <w:p w14:paraId="21F266E3" w14:textId="77777777" w:rsidR="00ED7488" w:rsidRDefault="00ED7488" w:rsidP="00CB1D11">
      <w:pPr>
        <w:pStyle w:val="Editionnumber"/>
        <w:suppressAutoHyphens/>
      </w:pPr>
    </w:p>
    <w:p w14:paraId="7ACE2EE6" w14:textId="77777777" w:rsidR="00ED7488" w:rsidRDefault="00ED7488" w:rsidP="00CB1D11">
      <w:pPr>
        <w:pStyle w:val="Editionnumber"/>
        <w:suppressAutoHyphens/>
      </w:pPr>
    </w:p>
    <w:p w14:paraId="11CA5FFB" w14:textId="4C1272E2" w:rsidR="004E0BBB" w:rsidRPr="00F55AD7" w:rsidRDefault="002735DD" w:rsidP="00CB1D11">
      <w:pPr>
        <w:pStyle w:val="Editionnumber"/>
        <w:suppressAutoHyphens/>
      </w:pPr>
      <w:r>
        <w:t xml:space="preserve">Edition </w:t>
      </w:r>
      <w:r w:rsidR="006B197F">
        <w:rPr>
          <w:highlight w:val="yellow"/>
        </w:rPr>
        <w:t>1</w:t>
      </w:r>
      <w:r w:rsidRPr="006B197F">
        <w:rPr>
          <w:highlight w:val="yellow"/>
        </w:rPr>
        <w:t>.</w:t>
      </w:r>
      <w:r w:rsidR="006B197F">
        <w:rPr>
          <w:highlight w:val="yellow"/>
        </w:rPr>
        <w:t>0</w:t>
      </w:r>
    </w:p>
    <w:p w14:paraId="1BD0CECB" w14:textId="77777777" w:rsidR="004E0BBB" w:rsidRDefault="002735DD" w:rsidP="00CB1D11">
      <w:pPr>
        <w:pStyle w:val="Documentdate"/>
        <w:suppressAutoHyphens/>
      </w:pPr>
      <w:r w:rsidRPr="006B197F">
        <w:rPr>
          <w:highlight w:val="yellow"/>
        </w:rPr>
        <w:t>Date</w:t>
      </w:r>
      <w:r>
        <w:t xml:space="preserve"> (of approval by Council)</w:t>
      </w:r>
    </w:p>
    <w:p w14:paraId="3499F479" w14:textId="77777777" w:rsidR="00BC27F6" w:rsidRDefault="00BC27F6" w:rsidP="00CB1D11">
      <w:pPr>
        <w:suppressAutoHyphens/>
      </w:pPr>
    </w:p>
    <w:p w14:paraId="11449EAD" w14:textId="77777777" w:rsidR="000E0EC6" w:rsidRPr="000870E9" w:rsidRDefault="00F404B9" w:rsidP="00CB1D11">
      <w:pPr>
        <w:pStyle w:val="MRN"/>
        <w:suppressAutoHyphens/>
        <w:rPr>
          <w:lang w:val="sv-SE"/>
        </w:rPr>
        <w:sectPr w:rsidR="000E0EC6" w:rsidRPr="000870E9" w:rsidSect="00AA4FCC">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4" w:left="1276" w:header="567" w:footer="760" w:gutter="0"/>
          <w:cols w:space="708"/>
          <w:docGrid w:linePitch="360"/>
        </w:sectPr>
      </w:pPr>
      <w:r w:rsidRPr="000870E9">
        <w:rPr>
          <w:lang w:val="sv-SE"/>
        </w:rPr>
        <w:t>urn:mrn:iala:pub:gnnnn</w:t>
      </w:r>
    </w:p>
    <w:p w14:paraId="108808B9" w14:textId="77777777" w:rsidR="00914E26" w:rsidRPr="00F55AD7" w:rsidRDefault="00914E26" w:rsidP="00CB1D11">
      <w:pPr>
        <w:pStyle w:val="BodyText"/>
        <w:suppressAutoHyphens/>
      </w:pPr>
      <w:r w:rsidRPr="00F23723">
        <w:lastRenderedPageBreak/>
        <w:t>Revisions</w:t>
      </w:r>
      <w:r w:rsidRPr="00F55AD7">
        <w:t xml:space="preserve"> to this </w:t>
      </w:r>
      <w:r w:rsidR="00462095">
        <w:t>d</w:t>
      </w:r>
      <w:r w:rsidRPr="00F55AD7">
        <w:t>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025"/>
        <w:gridCol w:w="2552"/>
      </w:tblGrid>
      <w:tr w:rsidR="005E4659" w:rsidRPr="00F55AD7" w14:paraId="69E7C944" w14:textId="77777777" w:rsidTr="00F404B9">
        <w:tc>
          <w:tcPr>
            <w:tcW w:w="1908" w:type="dxa"/>
          </w:tcPr>
          <w:p w14:paraId="4DC36BAF" w14:textId="77777777" w:rsidR="00914E26" w:rsidRPr="00F55AD7" w:rsidRDefault="00914E26" w:rsidP="00CB1D11">
            <w:pPr>
              <w:pStyle w:val="Documentrevisiontabletitle"/>
              <w:suppressAutoHyphens/>
            </w:pPr>
            <w:r w:rsidRPr="00F55AD7">
              <w:t>Date</w:t>
            </w:r>
          </w:p>
        </w:tc>
        <w:tc>
          <w:tcPr>
            <w:tcW w:w="6025" w:type="dxa"/>
          </w:tcPr>
          <w:p w14:paraId="5D07078B" w14:textId="77777777" w:rsidR="00914E26" w:rsidRPr="00F55AD7" w:rsidRDefault="00F404B9" w:rsidP="00CB1D11">
            <w:pPr>
              <w:pStyle w:val="Documentrevisiontabletitle"/>
              <w:suppressAutoHyphens/>
            </w:pPr>
            <w:r>
              <w:t>Details</w:t>
            </w:r>
          </w:p>
        </w:tc>
        <w:tc>
          <w:tcPr>
            <w:tcW w:w="2552" w:type="dxa"/>
          </w:tcPr>
          <w:p w14:paraId="71B939B5" w14:textId="77777777" w:rsidR="00914E26" w:rsidRPr="00F55AD7" w:rsidRDefault="00F404B9" w:rsidP="00CB1D11">
            <w:pPr>
              <w:pStyle w:val="Documentrevisiontabletitle"/>
              <w:suppressAutoHyphens/>
            </w:pPr>
            <w:r>
              <w:t>Approval</w:t>
            </w:r>
          </w:p>
        </w:tc>
      </w:tr>
      <w:tr w:rsidR="005E4659" w:rsidRPr="00F55AD7" w14:paraId="67B69019" w14:textId="77777777" w:rsidTr="00F20264">
        <w:trPr>
          <w:trHeight w:val="851"/>
        </w:trPr>
        <w:tc>
          <w:tcPr>
            <w:tcW w:w="1908" w:type="dxa"/>
          </w:tcPr>
          <w:p w14:paraId="7C2120EC" w14:textId="3013018B" w:rsidR="00914E26" w:rsidRPr="00CB7D0F" w:rsidRDefault="00785673" w:rsidP="00CB1D11">
            <w:pPr>
              <w:pStyle w:val="Tabletext"/>
              <w:suppressAutoHyphens/>
            </w:pPr>
            <w:r>
              <w:rPr>
                <w:highlight w:val="yellow"/>
              </w:rPr>
              <w:t>&lt;</w:t>
            </w:r>
            <w:r w:rsidRPr="00785673">
              <w:rPr>
                <w:highlight w:val="yellow"/>
              </w:rPr>
              <w:t>Month</w:t>
            </w:r>
            <w:r w:rsidR="00783ED6" w:rsidRPr="00785673">
              <w:rPr>
                <w:highlight w:val="yellow"/>
              </w:rPr>
              <w:t xml:space="preserve"> </w:t>
            </w:r>
            <w:r w:rsidRPr="00785673">
              <w:rPr>
                <w:highlight w:val="yellow"/>
              </w:rPr>
              <w:t>Year</w:t>
            </w:r>
            <w:r>
              <w:t>&gt;</w:t>
            </w:r>
          </w:p>
        </w:tc>
        <w:tc>
          <w:tcPr>
            <w:tcW w:w="6025" w:type="dxa"/>
          </w:tcPr>
          <w:p w14:paraId="1DF8FB2B" w14:textId="3778ED36" w:rsidR="00A11AAD" w:rsidRPr="00CB7D0F" w:rsidRDefault="000005E7" w:rsidP="00A565ED">
            <w:pPr>
              <w:pStyle w:val="Tabletext"/>
              <w:suppressAutoHyphens/>
            </w:pPr>
            <w:r>
              <w:t>Edition 1</w:t>
            </w:r>
          </w:p>
        </w:tc>
        <w:tc>
          <w:tcPr>
            <w:tcW w:w="2552" w:type="dxa"/>
          </w:tcPr>
          <w:p w14:paraId="73C856CB" w14:textId="21F875AB" w:rsidR="00914E26" w:rsidRPr="00CB7D0F" w:rsidRDefault="000005E7" w:rsidP="00CB1D11">
            <w:pPr>
              <w:pStyle w:val="Tabletext"/>
              <w:suppressAutoHyphens/>
            </w:pPr>
            <w:r>
              <w:t xml:space="preserve">Council </w:t>
            </w:r>
            <w:r w:rsidRPr="000005E7">
              <w:rPr>
                <w:highlight w:val="yellow"/>
              </w:rPr>
              <w:t>XX</w:t>
            </w:r>
          </w:p>
        </w:tc>
      </w:tr>
      <w:tr w:rsidR="005E4659" w:rsidRPr="00F55AD7" w14:paraId="628C352F" w14:textId="77777777" w:rsidTr="00F404B9">
        <w:trPr>
          <w:trHeight w:val="851"/>
        </w:trPr>
        <w:tc>
          <w:tcPr>
            <w:tcW w:w="1908" w:type="dxa"/>
            <w:vAlign w:val="center"/>
          </w:tcPr>
          <w:p w14:paraId="61C2EDB7" w14:textId="77777777" w:rsidR="00914E26" w:rsidRPr="00CB7D0F" w:rsidRDefault="00914E26" w:rsidP="00CB1D11">
            <w:pPr>
              <w:pStyle w:val="Tabletext"/>
              <w:suppressAutoHyphens/>
            </w:pPr>
          </w:p>
        </w:tc>
        <w:tc>
          <w:tcPr>
            <w:tcW w:w="6025" w:type="dxa"/>
            <w:vAlign w:val="center"/>
          </w:tcPr>
          <w:p w14:paraId="0E266F22" w14:textId="77777777" w:rsidR="00914E26" w:rsidRPr="00CB7D0F" w:rsidRDefault="00914E26" w:rsidP="00CB1D11">
            <w:pPr>
              <w:pStyle w:val="Tabletext"/>
              <w:suppressAutoHyphens/>
            </w:pPr>
          </w:p>
        </w:tc>
        <w:tc>
          <w:tcPr>
            <w:tcW w:w="2552" w:type="dxa"/>
            <w:vAlign w:val="center"/>
          </w:tcPr>
          <w:p w14:paraId="7382232C" w14:textId="77777777" w:rsidR="00914E26" w:rsidRPr="00CB7D0F" w:rsidRDefault="00914E26" w:rsidP="00CB1D11">
            <w:pPr>
              <w:pStyle w:val="Tabletext"/>
              <w:suppressAutoHyphens/>
            </w:pPr>
          </w:p>
        </w:tc>
      </w:tr>
      <w:tr w:rsidR="005E4659" w:rsidRPr="00F55AD7" w14:paraId="0AB957D9" w14:textId="77777777" w:rsidTr="00F404B9">
        <w:trPr>
          <w:trHeight w:val="851"/>
        </w:trPr>
        <w:tc>
          <w:tcPr>
            <w:tcW w:w="1908" w:type="dxa"/>
            <w:vAlign w:val="center"/>
          </w:tcPr>
          <w:p w14:paraId="37E142FC" w14:textId="77777777" w:rsidR="00914E26" w:rsidRPr="00CB7D0F" w:rsidRDefault="00914E26" w:rsidP="00CB1D11">
            <w:pPr>
              <w:pStyle w:val="Tabletext"/>
              <w:suppressAutoHyphens/>
            </w:pPr>
          </w:p>
        </w:tc>
        <w:tc>
          <w:tcPr>
            <w:tcW w:w="6025" w:type="dxa"/>
            <w:vAlign w:val="center"/>
          </w:tcPr>
          <w:p w14:paraId="57D3A180" w14:textId="77777777" w:rsidR="00914E26" w:rsidRPr="00CB7D0F" w:rsidRDefault="00914E26" w:rsidP="00CB1D11">
            <w:pPr>
              <w:pStyle w:val="Tabletext"/>
              <w:suppressAutoHyphens/>
            </w:pPr>
          </w:p>
        </w:tc>
        <w:tc>
          <w:tcPr>
            <w:tcW w:w="2552" w:type="dxa"/>
            <w:vAlign w:val="center"/>
          </w:tcPr>
          <w:p w14:paraId="6CE7912D" w14:textId="77777777" w:rsidR="00914E26" w:rsidRPr="00CB7D0F" w:rsidRDefault="00914E26" w:rsidP="00CB1D11">
            <w:pPr>
              <w:pStyle w:val="Tabletext"/>
              <w:suppressAutoHyphens/>
            </w:pPr>
          </w:p>
        </w:tc>
      </w:tr>
    </w:tbl>
    <w:p w14:paraId="39A94D4B" w14:textId="77777777" w:rsidR="00914E26" w:rsidRPr="00F55AD7" w:rsidRDefault="00914E26" w:rsidP="00CB1D11">
      <w:pPr>
        <w:suppressAutoHyphens/>
      </w:pPr>
    </w:p>
    <w:p w14:paraId="405BC466" w14:textId="77777777" w:rsidR="005E4659" w:rsidRDefault="00915FB4" w:rsidP="004A3C7D">
      <w:r>
        <w:br w:type="page"/>
      </w:r>
    </w:p>
    <w:p w14:paraId="327BB7E5" w14:textId="66840494" w:rsidR="00CE7DBA" w:rsidRPr="004A3C7D" w:rsidRDefault="00CE7DBA" w:rsidP="004A3C7D">
      <w:pPr>
        <w:rPr>
          <w:sz w:val="22"/>
        </w:rPr>
        <w:sectPr w:rsidR="00CE7DBA" w:rsidRPr="004A3C7D" w:rsidSect="00AA4FCC">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19C1FAFC" w14:textId="3CF1A68A" w:rsidR="00B6059E" w:rsidRDefault="00884712">
      <w:pPr>
        <w:pStyle w:val="TOC1"/>
        <w:rPr>
          <w:rFonts w:eastAsiaTheme="minorEastAsia"/>
          <w:b w:val="0"/>
          <w:caps w:val="0"/>
          <w:color w:val="auto"/>
          <w:kern w:val="2"/>
          <w:sz w:val="24"/>
          <w:szCs w:val="24"/>
          <w:lang w:val="en-AU" w:eastAsia="en-AU"/>
          <w14:ligatures w14:val="standardContextual"/>
        </w:rPr>
      </w:pPr>
      <w:r>
        <w:lastRenderedPageBreak/>
        <w:fldChar w:fldCharType="begin"/>
      </w:r>
      <w:r>
        <w:instrText xml:space="preserve"> TOC \o "1-4" \h \z \u </w:instrText>
      </w:r>
      <w:r>
        <w:fldChar w:fldCharType="separate"/>
      </w:r>
      <w:hyperlink w:anchor="_Toc238036106" w:history="1">
        <w:r w:rsidR="00B6059E" w:rsidRPr="009E5356">
          <w:rPr>
            <w:rStyle w:val="Hyperlink"/>
          </w:rPr>
          <w:t>1.</w:t>
        </w:r>
        <w:r w:rsidR="00B6059E">
          <w:rPr>
            <w:rFonts w:eastAsiaTheme="minorEastAsia"/>
            <w:b w:val="0"/>
            <w:caps w:val="0"/>
            <w:color w:val="auto"/>
            <w:kern w:val="2"/>
            <w:sz w:val="24"/>
            <w:szCs w:val="24"/>
            <w:lang w:val="en-AU" w:eastAsia="en-AU"/>
            <w14:ligatures w14:val="standardContextual"/>
          </w:rPr>
          <w:tab/>
        </w:r>
        <w:r w:rsidR="00B6059E" w:rsidRPr="009E5356">
          <w:rPr>
            <w:rStyle w:val="Hyperlink"/>
          </w:rPr>
          <w:t>introduction</w:t>
        </w:r>
        <w:r w:rsidR="00B6059E">
          <w:rPr>
            <w:webHidden/>
          </w:rPr>
          <w:tab/>
        </w:r>
        <w:r w:rsidR="00B6059E">
          <w:rPr>
            <w:webHidden/>
          </w:rPr>
          <w:fldChar w:fldCharType="begin"/>
        </w:r>
        <w:r w:rsidR="00B6059E">
          <w:rPr>
            <w:webHidden/>
          </w:rPr>
          <w:instrText xml:space="preserve"> PAGEREF _Toc238036106 \h </w:instrText>
        </w:r>
        <w:r w:rsidR="00B6059E">
          <w:rPr>
            <w:webHidden/>
          </w:rPr>
        </w:r>
        <w:r w:rsidR="00B6059E">
          <w:rPr>
            <w:webHidden/>
          </w:rPr>
          <w:fldChar w:fldCharType="separate"/>
        </w:r>
        <w:r w:rsidR="00B6059E">
          <w:rPr>
            <w:webHidden/>
          </w:rPr>
          <w:t>4</w:t>
        </w:r>
        <w:r w:rsidR="00B6059E">
          <w:rPr>
            <w:webHidden/>
          </w:rPr>
          <w:fldChar w:fldCharType="end"/>
        </w:r>
      </w:hyperlink>
    </w:p>
    <w:p w14:paraId="41C6461A" w14:textId="0C3A9D0E" w:rsidR="00B6059E" w:rsidRDefault="00B6059E">
      <w:pPr>
        <w:pStyle w:val="TOC1"/>
        <w:rPr>
          <w:rFonts w:eastAsiaTheme="minorEastAsia"/>
          <w:b w:val="0"/>
          <w:caps w:val="0"/>
          <w:color w:val="auto"/>
          <w:kern w:val="2"/>
          <w:sz w:val="24"/>
          <w:szCs w:val="24"/>
          <w:lang w:val="en-AU" w:eastAsia="en-AU"/>
          <w14:ligatures w14:val="standardContextual"/>
        </w:rPr>
      </w:pPr>
      <w:hyperlink w:anchor="_Toc238036107" w:history="1">
        <w:r w:rsidRPr="009E5356">
          <w:rPr>
            <w:rStyle w:val="Hyperlink"/>
          </w:rPr>
          <w:t>2.</w:t>
        </w:r>
        <w:r>
          <w:rPr>
            <w:rFonts w:eastAsiaTheme="minorEastAsia"/>
            <w:b w:val="0"/>
            <w:caps w:val="0"/>
            <w:color w:val="auto"/>
            <w:kern w:val="2"/>
            <w:sz w:val="24"/>
            <w:szCs w:val="24"/>
            <w:lang w:val="en-AU" w:eastAsia="en-AU"/>
            <w14:ligatures w14:val="standardContextual"/>
          </w:rPr>
          <w:tab/>
        </w:r>
        <w:r w:rsidRPr="009E5356">
          <w:rPr>
            <w:rStyle w:val="Hyperlink"/>
          </w:rPr>
          <w:t>objective</w:t>
        </w:r>
        <w:r>
          <w:rPr>
            <w:webHidden/>
          </w:rPr>
          <w:tab/>
        </w:r>
        <w:r>
          <w:rPr>
            <w:webHidden/>
          </w:rPr>
          <w:fldChar w:fldCharType="begin"/>
        </w:r>
        <w:r>
          <w:rPr>
            <w:webHidden/>
          </w:rPr>
          <w:instrText xml:space="preserve"> PAGEREF _Toc238036107 \h </w:instrText>
        </w:r>
        <w:r>
          <w:rPr>
            <w:webHidden/>
          </w:rPr>
        </w:r>
        <w:r>
          <w:rPr>
            <w:webHidden/>
          </w:rPr>
          <w:fldChar w:fldCharType="separate"/>
        </w:r>
        <w:r>
          <w:rPr>
            <w:webHidden/>
          </w:rPr>
          <w:t>4</w:t>
        </w:r>
        <w:r>
          <w:rPr>
            <w:webHidden/>
          </w:rPr>
          <w:fldChar w:fldCharType="end"/>
        </w:r>
      </w:hyperlink>
    </w:p>
    <w:p w14:paraId="6E7C21E5" w14:textId="245FAAFF" w:rsidR="00B6059E" w:rsidRDefault="00B6059E">
      <w:pPr>
        <w:pStyle w:val="TOC1"/>
        <w:rPr>
          <w:rFonts w:eastAsiaTheme="minorEastAsia"/>
          <w:b w:val="0"/>
          <w:caps w:val="0"/>
          <w:color w:val="auto"/>
          <w:kern w:val="2"/>
          <w:sz w:val="24"/>
          <w:szCs w:val="24"/>
          <w:lang w:val="en-AU" w:eastAsia="en-AU"/>
          <w14:ligatures w14:val="standardContextual"/>
        </w:rPr>
      </w:pPr>
      <w:hyperlink w:anchor="_Toc238036108" w:history="1">
        <w:r w:rsidRPr="009E5356">
          <w:rPr>
            <w:rStyle w:val="Hyperlink"/>
          </w:rPr>
          <w:t>3.</w:t>
        </w:r>
        <w:r>
          <w:rPr>
            <w:rFonts w:eastAsiaTheme="minorEastAsia"/>
            <w:b w:val="0"/>
            <w:caps w:val="0"/>
            <w:color w:val="auto"/>
            <w:kern w:val="2"/>
            <w:sz w:val="24"/>
            <w:szCs w:val="24"/>
            <w:lang w:val="en-AU" w:eastAsia="en-AU"/>
            <w14:ligatures w14:val="standardContextual"/>
          </w:rPr>
          <w:tab/>
        </w:r>
        <w:r w:rsidRPr="009E5356">
          <w:rPr>
            <w:rStyle w:val="Hyperlink"/>
          </w:rPr>
          <w:t>Framework for demonstrating VTS contribution</w:t>
        </w:r>
        <w:r>
          <w:rPr>
            <w:webHidden/>
          </w:rPr>
          <w:tab/>
        </w:r>
        <w:r>
          <w:rPr>
            <w:webHidden/>
          </w:rPr>
          <w:fldChar w:fldCharType="begin"/>
        </w:r>
        <w:r>
          <w:rPr>
            <w:webHidden/>
          </w:rPr>
          <w:instrText xml:space="preserve"> PAGEREF _Toc238036108 \h </w:instrText>
        </w:r>
        <w:r>
          <w:rPr>
            <w:webHidden/>
          </w:rPr>
        </w:r>
        <w:r>
          <w:rPr>
            <w:webHidden/>
          </w:rPr>
          <w:fldChar w:fldCharType="separate"/>
        </w:r>
        <w:r>
          <w:rPr>
            <w:webHidden/>
          </w:rPr>
          <w:t>5</w:t>
        </w:r>
        <w:r>
          <w:rPr>
            <w:webHidden/>
          </w:rPr>
          <w:fldChar w:fldCharType="end"/>
        </w:r>
      </w:hyperlink>
    </w:p>
    <w:p w14:paraId="2B2D2EDA" w14:textId="12BF3121" w:rsidR="00B6059E" w:rsidRDefault="00B6059E">
      <w:pPr>
        <w:pStyle w:val="TOC2"/>
        <w:rPr>
          <w:rFonts w:eastAsiaTheme="minorEastAsia"/>
          <w:color w:val="auto"/>
          <w:kern w:val="2"/>
          <w:sz w:val="24"/>
          <w:szCs w:val="24"/>
          <w:lang w:val="en-AU" w:eastAsia="en-AU"/>
          <w14:ligatures w14:val="standardContextual"/>
        </w:rPr>
      </w:pPr>
      <w:hyperlink w:anchor="_Toc238036109" w:history="1">
        <w:r w:rsidRPr="009E5356">
          <w:rPr>
            <w:rStyle w:val="Hyperlink"/>
          </w:rPr>
          <w:t>3.1.</w:t>
        </w:r>
        <w:r>
          <w:rPr>
            <w:rFonts w:eastAsiaTheme="minorEastAsia"/>
            <w:color w:val="auto"/>
            <w:kern w:val="2"/>
            <w:sz w:val="24"/>
            <w:szCs w:val="24"/>
            <w:lang w:val="en-AU" w:eastAsia="en-AU"/>
            <w14:ligatures w14:val="standardContextual"/>
          </w:rPr>
          <w:tab/>
        </w:r>
        <w:r w:rsidRPr="009E5356">
          <w:rPr>
            <w:rStyle w:val="Hyperlink"/>
          </w:rPr>
          <w:t>Advantages in adopting the framework</w:t>
        </w:r>
        <w:r>
          <w:rPr>
            <w:webHidden/>
          </w:rPr>
          <w:tab/>
        </w:r>
        <w:r>
          <w:rPr>
            <w:webHidden/>
          </w:rPr>
          <w:fldChar w:fldCharType="begin"/>
        </w:r>
        <w:r>
          <w:rPr>
            <w:webHidden/>
          </w:rPr>
          <w:instrText xml:space="preserve"> PAGEREF _Toc238036109 \h </w:instrText>
        </w:r>
        <w:r>
          <w:rPr>
            <w:webHidden/>
          </w:rPr>
        </w:r>
        <w:r>
          <w:rPr>
            <w:webHidden/>
          </w:rPr>
          <w:fldChar w:fldCharType="separate"/>
        </w:r>
        <w:r>
          <w:rPr>
            <w:webHidden/>
          </w:rPr>
          <w:t>6</w:t>
        </w:r>
        <w:r>
          <w:rPr>
            <w:webHidden/>
          </w:rPr>
          <w:fldChar w:fldCharType="end"/>
        </w:r>
      </w:hyperlink>
    </w:p>
    <w:p w14:paraId="7F6B20F5" w14:textId="00105139" w:rsidR="00B6059E" w:rsidRDefault="00B6059E">
      <w:pPr>
        <w:pStyle w:val="TOC1"/>
        <w:rPr>
          <w:rFonts w:eastAsiaTheme="minorEastAsia"/>
          <w:b w:val="0"/>
          <w:caps w:val="0"/>
          <w:color w:val="auto"/>
          <w:kern w:val="2"/>
          <w:sz w:val="24"/>
          <w:szCs w:val="24"/>
          <w:lang w:val="en-AU" w:eastAsia="en-AU"/>
          <w14:ligatures w14:val="standardContextual"/>
        </w:rPr>
      </w:pPr>
      <w:hyperlink w:anchor="_Toc238036110" w:history="1">
        <w:r w:rsidRPr="009E5356">
          <w:rPr>
            <w:rStyle w:val="Hyperlink"/>
          </w:rPr>
          <w:t>4.</w:t>
        </w:r>
        <w:r>
          <w:rPr>
            <w:rFonts w:eastAsiaTheme="minorEastAsia"/>
            <w:b w:val="0"/>
            <w:caps w:val="0"/>
            <w:color w:val="auto"/>
            <w:kern w:val="2"/>
            <w:sz w:val="24"/>
            <w:szCs w:val="24"/>
            <w:lang w:val="en-AU" w:eastAsia="en-AU"/>
            <w14:ligatures w14:val="standardContextual"/>
          </w:rPr>
          <w:tab/>
        </w:r>
        <w:r w:rsidRPr="009E5356">
          <w:rPr>
            <w:rStyle w:val="Hyperlink"/>
          </w:rPr>
          <w:t>Methodology</w:t>
        </w:r>
        <w:r>
          <w:rPr>
            <w:webHidden/>
          </w:rPr>
          <w:tab/>
        </w:r>
        <w:r>
          <w:rPr>
            <w:webHidden/>
          </w:rPr>
          <w:fldChar w:fldCharType="begin"/>
        </w:r>
        <w:r>
          <w:rPr>
            <w:webHidden/>
          </w:rPr>
          <w:instrText xml:space="preserve"> PAGEREF _Toc238036110 \h </w:instrText>
        </w:r>
        <w:r>
          <w:rPr>
            <w:webHidden/>
          </w:rPr>
        </w:r>
        <w:r>
          <w:rPr>
            <w:webHidden/>
          </w:rPr>
          <w:fldChar w:fldCharType="separate"/>
        </w:r>
        <w:r>
          <w:rPr>
            <w:webHidden/>
          </w:rPr>
          <w:t>6</w:t>
        </w:r>
        <w:r>
          <w:rPr>
            <w:webHidden/>
          </w:rPr>
          <w:fldChar w:fldCharType="end"/>
        </w:r>
      </w:hyperlink>
    </w:p>
    <w:p w14:paraId="4BDC46F2" w14:textId="1EB6319B" w:rsidR="00B6059E" w:rsidRDefault="00B6059E">
      <w:pPr>
        <w:pStyle w:val="TOC2"/>
        <w:rPr>
          <w:rFonts w:eastAsiaTheme="minorEastAsia"/>
          <w:color w:val="auto"/>
          <w:kern w:val="2"/>
          <w:sz w:val="24"/>
          <w:szCs w:val="24"/>
          <w:lang w:val="en-AU" w:eastAsia="en-AU"/>
          <w14:ligatures w14:val="standardContextual"/>
        </w:rPr>
      </w:pPr>
      <w:hyperlink w:anchor="_Toc238036111" w:history="1">
        <w:r w:rsidRPr="009E5356">
          <w:rPr>
            <w:rStyle w:val="Hyperlink"/>
          </w:rPr>
          <w:t>4.1.</w:t>
        </w:r>
        <w:r>
          <w:rPr>
            <w:rFonts w:eastAsiaTheme="minorEastAsia"/>
            <w:color w:val="auto"/>
            <w:kern w:val="2"/>
            <w:sz w:val="24"/>
            <w:szCs w:val="24"/>
            <w:lang w:val="en-AU" w:eastAsia="en-AU"/>
            <w14:ligatures w14:val="standardContextual"/>
          </w:rPr>
          <w:tab/>
        </w:r>
        <w:r w:rsidRPr="009E5356">
          <w:rPr>
            <w:rStyle w:val="Hyperlink"/>
          </w:rPr>
          <w:t>Hypothetical examples</w:t>
        </w:r>
        <w:r>
          <w:rPr>
            <w:webHidden/>
          </w:rPr>
          <w:tab/>
        </w:r>
        <w:r>
          <w:rPr>
            <w:webHidden/>
          </w:rPr>
          <w:fldChar w:fldCharType="begin"/>
        </w:r>
        <w:r>
          <w:rPr>
            <w:webHidden/>
          </w:rPr>
          <w:instrText xml:space="preserve"> PAGEREF _Toc238036111 \h </w:instrText>
        </w:r>
        <w:r>
          <w:rPr>
            <w:webHidden/>
          </w:rPr>
        </w:r>
        <w:r>
          <w:rPr>
            <w:webHidden/>
          </w:rPr>
          <w:fldChar w:fldCharType="separate"/>
        </w:r>
        <w:r>
          <w:rPr>
            <w:webHidden/>
          </w:rPr>
          <w:t>7</w:t>
        </w:r>
        <w:r>
          <w:rPr>
            <w:webHidden/>
          </w:rPr>
          <w:fldChar w:fldCharType="end"/>
        </w:r>
      </w:hyperlink>
    </w:p>
    <w:p w14:paraId="5C9A9A23" w14:textId="7D7D39A9" w:rsidR="00B6059E" w:rsidRDefault="00B6059E">
      <w:pPr>
        <w:pStyle w:val="TOC2"/>
        <w:rPr>
          <w:rFonts w:eastAsiaTheme="minorEastAsia"/>
          <w:color w:val="auto"/>
          <w:kern w:val="2"/>
          <w:sz w:val="24"/>
          <w:szCs w:val="24"/>
          <w:lang w:val="en-AU" w:eastAsia="en-AU"/>
          <w14:ligatures w14:val="standardContextual"/>
        </w:rPr>
      </w:pPr>
      <w:hyperlink w:anchor="_Toc238036112" w:history="1">
        <w:r w:rsidRPr="009E5356">
          <w:rPr>
            <w:rStyle w:val="Hyperlink"/>
          </w:rPr>
          <w:t>4.2.</w:t>
        </w:r>
        <w:r>
          <w:rPr>
            <w:rFonts w:eastAsiaTheme="minorEastAsia"/>
            <w:color w:val="auto"/>
            <w:kern w:val="2"/>
            <w:sz w:val="24"/>
            <w:szCs w:val="24"/>
            <w:lang w:val="en-AU" w:eastAsia="en-AU"/>
            <w14:ligatures w14:val="standardContextual"/>
          </w:rPr>
          <w:tab/>
        </w:r>
        <w:r w:rsidRPr="009E5356">
          <w:rPr>
            <w:rStyle w:val="Hyperlink"/>
          </w:rPr>
          <w:t>Contribution – clarifying terminology</w:t>
        </w:r>
        <w:r>
          <w:rPr>
            <w:webHidden/>
          </w:rPr>
          <w:tab/>
        </w:r>
        <w:r>
          <w:rPr>
            <w:webHidden/>
          </w:rPr>
          <w:fldChar w:fldCharType="begin"/>
        </w:r>
        <w:r>
          <w:rPr>
            <w:webHidden/>
          </w:rPr>
          <w:instrText xml:space="preserve"> PAGEREF _Toc238036112 \h </w:instrText>
        </w:r>
        <w:r>
          <w:rPr>
            <w:webHidden/>
          </w:rPr>
        </w:r>
        <w:r>
          <w:rPr>
            <w:webHidden/>
          </w:rPr>
          <w:fldChar w:fldCharType="separate"/>
        </w:r>
        <w:r>
          <w:rPr>
            <w:webHidden/>
          </w:rPr>
          <w:t>8</w:t>
        </w:r>
        <w:r>
          <w:rPr>
            <w:webHidden/>
          </w:rPr>
          <w:fldChar w:fldCharType="end"/>
        </w:r>
      </w:hyperlink>
    </w:p>
    <w:p w14:paraId="321823F5" w14:textId="270B46E3" w:rsidR="00B6059E" w:rsidRDefault="00B6059E">
      <w:pPr>
        <w:pStyle w:val="TOC2"/>
        <w:rPr>
          <w:rFonts w:eastAsiaTheme="minorEastAsia"/>
          <w:color w:val="auto"/>
          <w:kern w:val="2"/>
          <w:sz w:val="24"/>
          <w:szCs w:val="24"/>
          <w:lang w:val="en-AU" w:eastAsia="en-AU"/>
          <w14:ligatures w14:val="standardContextual"/>
        </w:rPr>
      </w:pPr>
      <w:hyperlink w:anchor="_Toc238036113" w:history="1">
        <w:r w:rsidRPr="009E5356">
          <w:rPr>
            <w:rStyle w:val="Hyperlink"/>
          </w:rPr>
          <w:t>4.3.</w:t>
        </w:r>
        <w:r>
          <w:rPr>
            <w:rFonts w:eastAsiaTheme="minorEastAsia"/>
            <w:color w:val="auto"/>
            <w:kern w:val="2"/>
            <w:sz w:val="24"/>
            <w:szCs w:val="24"/>
            <w:lang w:val="en-AU" w:eastAsia="en-AU"/>
            <w14:ligatures w14:val="standardContextual"/>
          </w:rPr>
          <w:tab/>
        </w:r>
        <w:r w:rsidRPr="009E5356">
          <w:rPr>
            <w:rStyle w:val="Hyperlink"/>
          </w:rPr>
          <w:t>Developing unsafe situations - Definition</w:t>
        </w:r>
        <w:r>
          <w:rPr>
            <w:webHidden/>
          </w:rPr>
          <w:tab/>
        </w:r>
        <w:r>
          <w:rPr>
            <w:webHidden/>
          </w:rPr>
          <w:fldChar w:fldCharType="begin"/>
        </w:r>
        <w:r>
          <w:rPr>
            <w:webHidden/>
          </w:rPr>
          <w:instrText xml:space="preserve"> PAGEREF _Toc238036113 \h </w:instrText>
        </w:r>
        <w:r>
          <w:rPr>
            <w:webHidden/>
          </w:rPr>
        </w:r>
        <w:r>
          <w:rPr>
            <w:webHidden/>
          </w:rPr>
          <w:fldChar w:fldCharType="separate"/>
        </w:r>
        <w:r>
          <w:rPr>
            <w:webHidden/>
          </w:rPr>
          <w:t>9</w:t>
        </w:r>
        <w:r>
          <w:rPr>
            <w:webHidden/>
          </w:rPr>
          <w:fldChar w:fldCharType="end"/>
        </w:r>
      </w:hyperlink>
    </w:p>
    <w:p w14:paraId="63282F6A" w14:textId="210BE702" w:rsidR="00B6059E" w:rsidRDefault="00B6059E">
      <w:pPr>
        <w:pStyle w:val="TOC2"/>
        <w:rPr>
          <w:rFonts w:eastAsiaTheme="minorEastAsia"/>
          <w:color w:val="auto"/>
          <w:kern w:val="2"/>
          <w:sz w:val="24"/>
          <w:szCs w:val="24"/>
          <w:lang w:val="en-AU" w:eastAsia="en-AU"/>
          <w14:ligatures w14:val="standardContextual"/>
        </w:rPr>
      </w:pPr>
      <w:hyperlink w:anchor="_Toc238036114" w:history="1">
        <w:r w:rsidRPr="009E5356">
          <w:rPr>
            <w:rStyle w:val="Hyperlink"/>
          </w:rPr>
          <w:t>4.4.</w:t>
        </w:r>
        <w:r>
          <w:rPr>
            <w:rFonts w:eastAsiaTheme="minorEastAsia"/>
            <w:color w:val="auto"/>
            <w:kern w:val="2"/>
            <w:sz w:val="24"/>
            <w:szCs w:val="24"/>
            <w:lang w:val="en-AU" w:eastAsia="en-AU"/>
            <w14:ligatures w14:val="standardContextual"/>
          </w:rPr>
          <w:tab/>
        </w:r>
        <w:r w:rsidRPr="009E5356">
          <w:rPr>
            <w:rStyle w:val="Hyperlink"/>
          </w:rPr>
          <w:t>Challenges</w:t>
        </w:r>
        <w:r>
          <w:rPr>
            <w:webHidden/>
          </w:rPr>
          <w:tab/>
        </w:r>
        <w:r>
          <w:rPr>
            <w:webHidden/>
          </w:rPr>
          <w:fldChar w:fldCharType="begin"/>
        </w:r>
        <w:r>
          <w:rPr>
            <w:webHidden/>
          </w:rPr>
          <w:instrText xml:space="preserve"> PAGEREF _Toc238036114 \h </w:instrText>
        </w:r>
        <w:r>
          <w:rPr>
            <w:webHidden/>
          </w:rPr>
        </w:r>
        <w:r>
          <w:rPr>
            <w:webHidden/>
          </w:rPr>
          <w:fldChar w:fldCharType="separate"/>
        </w:r>
        <w:r>
          <w:rPr>
            <w:webHidden/>
          </w:rPr>
          <w:t>9</w:t>
        </w:r>
        <w:r>
          <w:rPr>
            <w:webHidden/>
          </w:rPr>
          <w:fldChar w:fldCharType="end"/>
        </w:r>
      </w:hyperlink>
    </w:p>
    <w:p w14:paraId="17AFE54E" w14:textId="71F038B7" w:rsidR="00B6059E" w:rsidRDefault="00B6059E">
      <w:pPr>
        <w:pStyle w:val="TOC2"/>
        <w:rPr>
          <w:rFonts w:eastAsiaTheme="minorEastAsia"/>
          <w:color w:val="auto"/>
          <w:kern w:val="2"/>
          <w:sz w:val="24"/>
          <w:szCs w:val="24"/>
          <w:lang w:val="en-AU" w:eastAsia="en-AU"/>
          <w14:ligatures w14:val="standardContextual"/>
        </w:rPr>
      </w:pPr>
      <w:hyperlink w:anchor="_Toc238036115" w:history="1">
        <w:r w:rsidRPr="009E5356">
          <w:rPr>
            <w:rStyle w:val="Hyperlink"/>
          </w:rPr>
          <w:t>4.5.</w:t>
        </w:r>
        <w:r>
          <w:rPr>
            <w:rFonts w:eastAsiaTheme="minorEastAsia"/>
            <w:color w:val="auto"/>
            <w:kern w:val="2"/>
            <w:sz w:val="24"/>
            <w:szCs w:val="24"/>
            <w:lang w:val="en-AU" w:eastAsia="en-AU"/>
            <w14:ligatures w14:val="standardContextual"/>
          </w:rPr>
          <w:tab/>
        </w:r>
        <w:r w:rsidRPr="009E5356">
          <w:rPr>
            <w:rStyle w:val="Hyperlink"/>
          </w:rPr>
          <w:t>Key principles</w:t>
        </w:r>
        <w:r>
          <w:rPr>
            <w:webHidden/>
          </w:rPr>
          <w:tab/>
        </w:r>
        <w:r>
          <w:rPr>
            <w:webHidden/>
          </w:rPr>
          <w:fldChar w:fldCharType="begin"/>
        </w:r>
        <w:r>
          <w:rPr>
            <w:webHidden/>
          </w:rPr>
          <w:instrText xml:space="preserve"> PAGEREF _Toc238036115 \h </w:instrText>
        </w:r>
        <w:r>
          <w:rPr>
            <w:webHidden/>
          </w:rPr>
        </w:r>
        <w:r>
          <w:rPr>
            <w:webHidden/>
          </w:rPr>
          <w:fldChar w:fldCharType="separate"/>
        </w:r>
        <w:r>
          <w:rPr>
            <w:webHidden/>
          </w:rPr>
          <w:t>10</w:t>
        </w:r>
        <w:r>
          <w:rPr>
            <w:webHidden/>
          </w:rPr>
          <w:fldChar w:fldCharType="end"/>
        </w:r>
      </w:hyperlink>
    </w:p>
    <w:p w14:paraId="51FC951C" w14:textId="0DAA5828" w:rsidR="00B6059E" w:rsidRDefault="00B6059E">
      <w:pPr>
        <w:pStyle w:val="TOC2"/>
        <w:rPr>
          <w:rFonts w:eastAsiaTheme="minorEastAsia"/>
          <w:color w:val="auto"/>
          <w:kern w:val="2"/>
          <w:sz w:val="24"/>
          <w:szCs w:val="24"/>
          <w:lang w:val="en-AU" w:eastAsia="en-AU"/>
          <w14:ligatures w14:val="standardContextual"/>
        </w:rPr>
      </w:pPr>
      <w:hyperlink w:anchor="_Toc238036116" w:history="1">
        <w:r w:rsidRPr="009E5356">
          <w:rPr>
            <w:rStyle w:val="Hyperlink"/>
          </w:rPr>
          <w:t>4.6.</w:t>
        </w:r>
        <w:r>
          <w:rPr>
            <w:rFonts w:eastAsiaTheme="minorEastAsia"/>
            <w:color w:val="auto"/>
            <w:kern w:val="2"/>
            <w:sz w:val="24"/>
            <w:szCs w:val="24"/>
            <w:lang w:val="en-AU" w:eastAsia="en-AU"/>
            <w14:ligatures w14:val="standardContextual"/>
          </w:rPr>
          <w:tab/>
        </w:r>
        <w:r w:rsidRPr="009E5356">
          <w:rPr>
            <w:rStyle w:val="Hyperlink"/>
          </w:rPr>
          <w:t>Data requirements</w:t>
        </w:r>
        <w:r>
          <w:rPr>
            <w:webHidden/>
          </w:rPr>
          <w:tab/>
        </w:r>
        <w:r>
          <w:rPr>
            <w:webHidden/>
          </w:rPr>
          <w:fldChar w:fldCharType="begin"/>
        </w:r>
        <w:r>
          <w:rPr>
            <w:webHidden/>
          </w:rPr>
          <w:instrText xml:space="preserve"> PAGEREF _Toc238036116 \h </w:instrText>
        </w:r>
        <w:r>
          <w:rPr>
            <w:webHidden/>
          </w:rPr>
        </w:r>
        <w:r>
          <w:rPr>
            <w:webHidden/>
          </w:rPr>
          <w:fldChar w:fldCharType="separate"/>
        </w:r>
        <w:r>
          <w:rPr>
            <w:webHidden/>
          </w:rPr>
          <w:t>11</w:t>
        </w:r>
        <w:r>
          <w:rPr>
            <w:webHidden/>
          </w:rPr>
          <w:fldChar w:fldCharType="end"/>
        </w:r>
      </w:hyperlink>
    </w:p>
    <w:p w14:paraId="61F140B7" w14:textId="5BCD0DFA" w:rsidR="00B6059E" w:rsidRDefault="00B6059E">
      <w:pPr>
        <w:pStyle w:val="TOC2"/>
        <w:rPr>
          <w:rFonts w:eastAsiaTheme="minorEastAsia"/>
          <w:color w:val="auto"/>
          <w:kern w:val="2"/>
          <w:sz w:val="24"/>
          <w:szCs w:val="24"/>
          <w:lang w:val="en-AU" w:eastAsia="en-AU"/>
          <w14:ligatures w14:val="standardContextual"/>
        </w:rPr>
      </w:pPr>
      <w:hyperlink w:anchor="_Toc238036117" w:history="1">
        <w:r w:rsidRPr="009E5356">
          <w:rPr>
            <w:rStyle w:val="Hyperlink"/>
          </w:rPr>
          <w:t>4.7.</w:t>
        </w:r>
        <w:r>
          <w:rPr>
            <w:rFonts w:eastAsiaTheme="minorEastAsia"/>
            <w:color w:val="auto"/>
            <w:kern w:val="2"/>
            <w:sz w:val="24"/>
            <w:szCs w:val="24"/>
            <w:lang w:val="en-AU" w:eastAsia="en-AU"/>
            <w14:ligatures w14:val="standardContextual"/>
          </w:rPr>
          <w:tab/>
        </w:r>
        <w:r w:rsidRPr="009E5356">
          <w:rPr>
            <w:rStyle w:val="Hyperlink"/>
          </w:rPr>
          <w:t>Time series data structure</w:t>
        </w:r>
        <w:r>
          <w:rPr>
            <w:webHidden/>
          </w:rPr>
          <w:tab/>
        </w:r>
        <w:r>
          <w:rPr>
            <w:webHidden/>
          </w:rPr>
          <w:fldChar w:fldCharType="begin"/>
        </w:r>
        <w:r>
          <w:rPr>
            <w:webHidden/>
          </w:rPr>
          <w:instrText xml:space="preserve"> PAGEREF _Toc238036117 \h </w:instrText>
        </w:r>
        <w:r>
          <w:rPr>
            <w:webHidden/>
          </w:rPr>
        </w:r>
        <w:r>
          <w:rPr>
            <w:webHidden/>
          </w:rPr>
          <w:fldChar w:fldCharType="separate"/>
        </w:r>
        <w:r>
          <w:rPr>
            <w:webHidden/>
          </w:rPr>
          <w:t>12</w:t>
        </w:r>
        <w:r>
          <w:rPr>
            <w:webHidden/>
          </w:rPr>
          <w:fldChar w:fldCharType="end"/>
        </w:r>
      </w:hyperlink>
    </w:p>
    <w:p w14:paraId="7F4C9BBF" w14:textId="1F6F385A" w:rsidR="00B6059E" w:rsidRDefault="00B6059E">
      <w:pPr>
        <w:pStyle w:val="TOC3"/>
        <w:tabs>
          <w:tab w:val="left" w:pos="1134"/>
        </w:tabs>
        <w:rPr>
          <w:rFonts w:eastAsiaTheme="minorEastAsia"/>
          <w:noProof/>
          <w:color w:val="auto"/>
          <w:kern w:val="2"/>
          <w:sz w:val="24"/>
          <w:szCs w:val="24"/>
          <w:lang w:val="en-AU" w:eastAsia="en-AU"/>
          <w14:ligatures w14:val="standardContextual"/>
        </w:rPr>
      </w:pPr>
      <w:hyperlink w:anchor="_Toc238036118" w:history="1">
        <w:r w:rsidRPr="009E5356">
          <w:rPr>
            <w:rStyle w:val="Hyperlink"/>
            <w:noProof/>
            <w:lang w:val="en-AU" w:eastAsia="en-AU"/>
          </w:rPr>
          <w:t>4.7.1.</w:t>
        </w:r>
        <w:r>
          <w:rPr>
            <w:rFonts w:eastAsiaTheme="minorEastAsia"/>
            <w:noProof/>
            <w:color w:val="auto"/>
            <w:kern w:val="2"/>
            <w:sz w:val="24"/>
            <w:szCs w:val="24"/>
            <w:lang w:val="en-AU" w:eastAsia="en-AU"/>
            <w14:ligatures w14:val="standardContextual"/>
          </w:rPr>
          <w:tab/>
        </w:r>
        <w:r w:rsidRPr="009E5356">
          <w:rPr>
            <w:rStyle w:val="Hyperlink"/>
            <w:noProof/>
            <w:lang w:val="en-AU" w:eastAsia="en-AU"/>
          </w:rPr>
          <w:t>Purpose of the Time</w:t>
        </w:r>
        <w:r w:rsidRPr="009E5356">
          <w:rPr>
            <w:rStyle w:val="Hyperlink"/>
            <w:noProof/>
            <w:lang w:val="en-AU" w:eastAsia="en-AU"/>
          </w:rPr>
          <w:noBreakHyphen/>
          <w:t>Series Dataset</w:t>
        </w:r>
        <w:r>
          <w:rPr>
            <w:noProof/>
            <w:webHidden/>
          </w:rPr>
          <w:tab/>
        </w:r>
        <w:r>
          <w:rPr>
            <w:noProof/>
            <w:webHidden/>
          </w:rPr>
          <w:fldChar w:fldCharType="begin"/>
        </w:r>
        <w:r>
          <w:rPr>
            <w:noProof/>
            <w:webHidden/>
          </w:rPr>
          <w:instrText xml:space="preserve"> PAGEREF _Toc238036118 \h </w:instrText>
        </w:r>
        <w:r>
          <w:rPr>
            <w:noProof/>
            <w:webHidden/>
          </w:rPr>
        </w:r>
        <w:r>
          <w:rPr>
            <w:noProof/>
            <w:webHidden/>
          </w:rPr>
          <w:fldChar w:fldCharType="separate"/>
        </w:r>
        <w:r>
          <w:rPr>
            <w:noProof/>
            <w:webHidden/>
          </w:rPr>
          <w:t>13</w:t>
        </w:r>
        <w:r>
          <w:rPr>
            <w:noProof/>
            <w:webHidden/>
          </w:rPr>
          <w:fldChar w:fldCharType="end"/>
        </w:r>
      </w:hyperlink>
    </w:p>
    <w:p w14:paraId="38FFE479" w14:textId="6AF15FAD" w:rsidR="00B6059E" w:rsidRDefault="00B6059E">
      <w:pPr>
        <w:pStyle w:val="TOC3"/>
        <w:tabs>
          <w:tab w:val="left" w:pos="1134"/>
        </w:tabs>
        <w:rPr>
          <w:rFonts w:eastAsiaTheme="minorEastAsia"/>
          <w:noProof/>
          <w:color w:val="auto"/>
          <w:kern w:val="2"/>
          <w:sz w:val="24"/>
          <w:szCs w:val="24"/>
          <w:lang w:val="en-AU" w:eastAsia="en-AU"/>
          <w14:ligatures w14:val="standardContextual"/>
        </w:rPr>
      </w:pPr>
      <w:hyperlink w:anchor="_Toc238036119" w:history="1">
        <w:r w:rsidRPr="009E5356">
          <w:rPr>
            <w:rStyle w:val="Hyperlink"/>
            <w:rFonts w:eastAsia="Times New Roman"/>
            <w:noProof/>
            <w:lang w:val="en-AU" w:eastAsia="en-AU"/>
          </w:rPr>
          <w:t>4.7.2.</w:t>
        </w:r>
        <w:r>
          <w:rPr>
            <w:rFonts w:eastAsiaTheme="minorEastAsia"/>
            <w:noProof/>
            <w:color w:val="auto"/>
            <w:kern w:val="2"/>
            <w:sz w:val="24"/>
            <w:szCs w:val="24"/>
            <w:lang w:val="en-AU" w:eastAsia="en-AU"/>
            <w14:ligatures w14:val="standardContextual"/>
          </w:rPr>
          <w:tab/>
        </w:r>
        <w:r w:rsidRPr="009E5356">
          <w:rPr>
            <w:rStyle w:val="Hyperlink"/>
            <w:rFonts w:eastAsia="Times New Roman"/>
            <w:noProof/>
            <w:lang w:val="en-AU" w:eastAsia="en-AU"/>
          </w:rPr>
          <w:t>Categorisation of interactions</w:t>
        </w:r>
        <w:r>
          <w:rPr>
            <w:noProof/>
            <w:webHidden/>
          </w:rPr>
          <w:tab/>
        </w:r>
        <w:r>
          <w:rPr>
            <w:noProof/>
            <w:webHidden/>
          </w:rPr>
          <w:fldChar w:fldCharType="begin"/>
        </w:r>
        <w:r>
          <w:rPr>
            <w:noProof/>
            <w:webHidden/>
          </w:rPr>
          <w:instrText xml:space="preserve"> PAGEREF _Toc238036119 \h </w:instrText>
        </w:r>
        <w:r>
          <w:rPr>
            <w:noProof/>
            <w:webHidden/>
          </w:rPr>
        </w:r>
        <w:r>
          <w:rPr>
            <w:noProof/>
            <w:webHidden/>
          </w:rPr>
          <w:fldChar w:fldCharType="separate"/>
        </w:r>
        <w:r>
          <w:rPr>
            <w:noProof/>
            <w:webHidden/>
          </w:rPr>
          <w:t>14</w:t>
        </w:r>
        <w:r>
          <w:rPr>
            <w:noProof/>
            <w:webHidden/>
          </w:rPr>
          <w:fldChar w:fldCharType="end"/>
        </w:r>
      </w:hyperlink>
    </w:p>
    <w:p w14:paraId="4BECD9FC" w14:textId="4B5AD0A5" w:rsidR="00B6059E" w:rsidRDefault="00B6059E">
      <w:pPr>
        <w:pStyle w:val="TOC2"/>
        <w:rPr>
          <w:rFonts w:eastAsiaTheme="minorEastAsia"/>
          <w:color w:val="auto"/>
          <w:kern w:val="2"/>
          <w:sz w:val="24"/>
          <w:szCs w:val="24"/>
          <w:lang w:val="en-AU" w:eastAsia="en-AU"/>
          <w14:ligatures w14:val="standardContextual"/>
        </w:rPr>
      </w:pPr>
      <w:hyperlink w:anchor="_Toc238036120" w:history="1">
        <w:r w:rsidRPr="009E5356">
          <w:rPr>
            <w:rStyle w:val="Hyperlink"/>
            <w:rFonts w:eastAsia="Times New Roman"/>
            <w:lang w:val="en-AU" w:eastAsia="en-AU"/>
          </w:rPr>
          <w:t>4.8.</w:t>
        </w:r>
        <w:r>
          <w:rPr>
            <w:rFonts w:eastAsiaTheme="minorEastAsia"/>
            <w:color w:val="auto"/>
            <w:kern w:val="2"/>
            <w:sz w:val="24"/>
            <w:szCs w:val="24"/>
            <w:lang w:val="en-AU" w:eastAsia="en-AU"/>
            <w14:ligatures w14:val="standardContextual"/>
          </w:rPr>
          <w:tab/>
        </w:r>
        <w:r w:rsidRPr="009E5356">
          <w:rPr>
            <w:rStyle w:val="Hyperlink"/>
            <w:rFonts w:eastAsia="Times New Roman"/>
            <w:lang w:val="en-AU" w:eastAsia="en-AU"/>
          </w:rPr>
          <w:t>Statistical Techniques</w:t>
        </w:r>
        <w:r>
          <w:rPr>
            <w:webHidden/>
          </w:rPr>
          <w:tab/>
        </w:r>
        <w:r>
          <w:rPr>
            <w:webHidden/>
          </w:rPr>
          <w:fldChar w:fldCharType="begin"/>
        </w:r>
        <w:r>
          <w:rPr>
            <w:webHidden/>
          </w:rPr>
          <w:instrText xml:space="preserve"> PAGEREF _Toc238036120 \h </w:instrText>
        </w:r>
        <w:r>
          <w:rPr>
            <w:webHidden/>
          </w:rPr>
        </w:r>
        <w:r>
          <w:rPr>
            <w:webHidden/>
          </w:rPr>
          <w:fldChar w:fldCharType="separate"/>
        </w:r>
        <w:r>
          <w:rPr>
            <w:webHidden/>
          </w:rPr>
          <w:t>15</w:t>
        </w:r>
        <w:r>
          <w:rPr>
            <w:webHidden/>
          </w:rPr>
          <w:fldChar w:fldCharType="end"/>
        </w:r>
      </w:hyperlink>
    </w:p>
    <w:p w14:paraId="58738531" w14:textId="70C5A9BB" w:rsidR="00B6059E" w:rsidRDefault="00B6059E">
      <w:pPr>
        <w:pStyle w:val="TOC3"/>
        <w:tabs>
          <w:tab w:val="left" w:pos="1134"/>
        </w:tabs>
        <w:rPr>
          <w:rFonts w:eastAsiaTheme="minorEastAsia"/>
          <w:noProof/>
          <w:color w:val="auto"/>
          <w:kern w:val="2"/>
          <w:sz w:val="24"/>
          <w:szCs w:val="24"/>
          <w:lang w:val="en-AU" w:eastAsia="en-AU"/>
          <w14:ligatures w14:val="standardContextual"/>
        </w:rPr>
      </w:pPr>
      <w:hyperlink w:anchor="_Toc238036121" w:history="1">
        <w:r w:rsidRPr="009E5356">
          <w:rPr>
            <w:rStyle w:val="Hyperlink"/>
            <w:rFonts w:eastAsia="Times New Roman"/>
            <w:noProof/>
            <w:lang w:val="en-AU" w:eastAsia="en-AU"/>
          </w:rPr>
          <w:t>4.8.1.</w:t>
        </w:r>
        <w:r>
          <w:rPr>
            <w:rFonts w:eastAsiaTheme="minorEastAsia"/>
            <w:noProof/>
            <w:color w:val="auto"/>
            <w:kern w:val="2"/>
            <w:sz w:val="24"/>
            <w:szCs w:val="24"/>
            <w:lang w:val="en-AU" w:eastAsia="en-AU"/>
            <w14:ligatures w14:val="standardContextual"/>
          </w:rPr>
          <w:tab/>
        </w:r>
        <w:r w:rsidRPr="009E5356">
          <w:rPr>
            <w:rStyle w:val="Hyperlink"/>
            <w:rFonts w:eastAsia="Times New Roman"/>
            <w:noProof/>
            <w:lang w:val="en-AU" w:eastAsia="en-AU"/>
          </w:rPr>
          <w:t>Normalisation</w:t>
        </w:r>
        <w:r>
          <w:rPr>
            <w:noProof/>
            <w:webHidden/>
          </w:rPr>
          <w:tab/>
        </w:r>
        <w:r>
          <w:rPr>
            <w:noProof/>
            <w:webHidden/>
          </w:rPr>
          <w:fldChar w:fldCharType="begin"/>
        </w:r>
        <w:r>
          <w:rPr>
            <w:noProof/>
            <w:webHidden/>
          </w:rPr>
          <w:instrText xml:space="preserve"> PAGEREF _Toc238036121 \h </w:instrText>
        </w:r>
        <w:r>
          <w:rPr>
            <w:noProof/>
            <w:webHidden/>
          </w:rPr>
        </w:r>
        <w:r>
          <w:rPr>
            <w:noProof/>
            <w:webHidden/>
          </w:rPr>
          <w:fldChar w:fldCharType="separate"/>
        </w:r>
        <w:r>
          <w:rPr>
            <w:noProof/>
            <w:webHidden/>
          </w:rPr>
          <w:t>15</w:t>
        </w:r>
        <w:r>
          <w:rPr>
            <w:noProof/>
            <w:webHidden/>
          </w:rPr>
          <w:fldChar w:fldCharType="end"/>
        </w:r>
      </w:hyperlink>
    </w:p>
    <w:p w14:paraId="62C9912D" w14:textId="1FABB146" w:rsidR="00B6059E" w:rsidRDefault="00B6059E">
      <w:pPr>
        <w:pStyle w:val="TOC3"/>
        <w:tabs>
          <w:tab w:val="left" w:pos="1134"/>
        </w:tabs>
        <w:rPr>
          <w:rFonts w:eastAsiaTheme="minorEastAsia"/>
          <w:noProof/>
          <w:color w:val="auto"/>
          <w:kern w:val="2"/>
          <w:sz w:val="24"/>
          <w:szCs w:val="24"/>
          <w:lang w:val="en-AU" w:eastAsia="en-AU"/>
          <w14:ligatures w14:val="standardContextual"/>
        </w:rPr>
      </w:pPr>
      <w:hyperlink w:anchor="_Toc238036122" w:history="1">
        <w:r w:rsidRPr="009E5356">
          <w:rPr>
            <w:rStyle w:val="Hyperlink"/>
            <w:rFonts w:eastAsia="Times New Roman"/>
            <w:noProof/>
            <w:lang w:val="en-AU" w:eastAsia="en-AU"/>
          </w:rPr>
          <w:t>4.8.2.</w:t>
        </w:r>
        <w:r>
          <w:rPr>
            <w:rFonts w:eastAsiaTheme="minorEastAsia"/>
            <w:noProof/>
            <w:color w:val="auto"/>
            <w:kern w:val="2"/>
            <w:sz w:val="24"/>
            <w:szCs w:val="24"/>
            <w:lang w:val="en-AU" w:eastAsia="en-AU"/>
            <w14:ligatures w14:val="standardContextual"/>
          </w:rPr>
          <w:tab/>
        </w:r>
        <w:r w:rsidRPr="009E5356">
          <w:rPr>
            <w:rStyle w:val="Hyperlink"/>
            <w:rFonts w:eastAsia="Times New Roman"/>
            <w:noProof/>
            <w:lang w:val="en-AU" w:eastAsia="en-AU"/>
          </w:rPr>
          <w:t>Percentage Change</w:t>
        </w:r>
        <w:r>
          <w:rPr>
            <w:noProof/>
            <w:webHidden/>
          </w:rPr>
          <w:tab/>
        </w:r>
        <w:r>
          <w:rPr>
            <w:noProof/>
            <w:webHidden/>
          </w:rPr>
          <w:fldChar w:fldCharType="begin"/>
        </w:r>
        <w:r>
          <w:rPr>
            <w:noProof/>
            <w:webHidden/>
          </w:rPr>
          <w:instrText xml:space="preserve"> PAGEREF _Toc238036122 \h </w:instrText>
        </w:r>
        <w:r>
          <w:rPr>
            <w:noProof/>
            <w:webHidden/>
          </w:rPr>
        </w:r>
        <w:r>
          <w:rPr>
            <w:noProof/>
            <w:webHidden/>
          </w:rPr>
          <w:fldChar w:fldCharType="separate"/>
        </w:r>
        <w:r>
          <w:rPr>
            <w:noProof/>
            <w:webHidden/>
          </w:rPr>
          <w:t>16</w:t>
        </w:r>
        <w:r>
          <w:rPr>
            <w:noProof/>
            <w:webHidden/>
          </w:rPr>
          <w:fldChar w:fldCharType="end"/>
        </w:r>
      </w:hyperlink>
    </w:p>
    <w:p w14:paraId="69D34629" w14:textId="1616B257" w:rsidR="00B6059E" w:rsidRDefault="00B6059E">
      <w:pPr>
        <w:pStyle w:val="TOC3"/>
        <w:tabs>
          <w:tab w:val="left" w:pos="1134"/>
        </w:tabs>
        <w:rPr>
          <w:rFonts w:eastAsiaTheme="minorEastAsia"/>
          <w:noProof/>
          <w:color w:val="auto"/>
          <w:kern w:val="2"/>
          <w:sz w:val="24"/>
          <w:szCs w:val="24"/>
          <w:lang w:val="en-AU" w:eastAsia="en-AU"/>
          <w14:ligatures w14:val="standardContextual"/>
        </w:rPr>
      </w:pPr>
      <w:hyperlink w:anchor="_Toc238036123" w:history="1">
        <w:r w:rsidRPr="009E5356">
          <w:rPr>
            <w:rStyle w:val="Hyperlink"/>
            <w:rFonts w:eastAsia="Times New Roman"/>
            <w:noProof/>
            <w:lang w:val="en-AU" w:eastAsia="en-AU"/>
          </w:rPr>
          <w:t>4.8.3.</w:t>
        </w:r>
        <w:r>
          <w:rPr>
            <w:rFonts w:eastAsiaTheme="minorEastAsia"/>
            <w:noProof/>
            <w:color w:val="auto"/>
            <w:kern w:val="2"/>
            <w:sz w:val="24"/>
            <w:szCs w:val="24"/>
            <w:lang w:val="en-AU" w:eastAsia="en-AU"/>
            <w14:ligatures w14:val="standardContextual"/>
          </w:rPr>
          <w:tab/>
        </w:r>
        <w:r w:rsidRPr="009E5356">
          <w:rPr>
            <w:rStyle w:val="Hyperlink"/>
            <w:rFonts w:eastAsia="Times New Roman"/>
            <w:noProof/>
            <w:lang w:val="en-AU" w:eastAsia="en-AU"/>
          </w:rPr>
          <w:t>Selecting the Appropriate Technique’s</w:t>
        </w:r>
        <w:r>
          <w:rPr>
            <w:noProof/>
            <w:webHidden/>
          </w:rPr>
          <w:tab/>
        </w:r>
        <w:r>
          <w:rPr>
            <w:noProof/>
            <w:webHidden/>
          </w:rPr>
          <w:fldChar w:fldCharType="begin"/>
        </w:r>
        <w:r>
          <w:rPr>
            <w:noProof/>
            <w:webHidden/>
          </w:rPr>
          <w:instrText xml:space="preserve"> PAGEREF _Toc238036123 \h </w:instrText>
        </w:r>
        <w:r>
          <w:rPr>
            <w:noProof/>
            <w:webHidden/>
          </w:rPr>
        </w:r>
        <w:r>
          <w:rPr>
            <w:noProof/>
            <w:webHidden/>
          </w:rPr>
          <w:fldChar w:fldCharType="separate"/>
        </w:r>
        <w:r>
          <w:rPr>
            <w:noProof/>
            <w:webHidden/>
          </w:rPr>
          <w:t>17</w:t>
        </w:r>
        <w:r>
          <w:rPr>
            <w:noProof/>
            <w:webHidden/>
          </w:rPr>
          <w:fldChar w:fldCharType="end"/>
        </w:r>
      </w:hyperlink>
    </w:p>
    <w:p w14:paraId="6937726D" w14:textId="2C490716" w:rsidR="00B6059E" w:rsidRDefault="00B6059E">
      <w:pPr>
        <w:pStyle w:val="TOC3"/>
        <w:tabs>
          <w:tab w:val="left" w:pos="1134"/>
        </w:tabs>
        <w:rPr>
          <w:rFonts w:eastAsiaTheme="minorEastAsia"/>
          <w:noProof/>
          <w:color w:val="auto"/>
          <w:kern w:val="2"/>
          <w:sz w:val="24"/>
          <w:szCs w:val="24"/>
          <w:lang w:val="en-AU" w:eastAsia="en-AU"/>
          <w14:ligatures w14:val="standardContextual"/>
        </w:rPr>
      </w:pPr>
      <w:hyperlink w:anchor="_Toc238036124" w:history="1">
        <w:r w:rsidRPr="009E5356">
          <w:rPr>
            <w:rStyle w:val="Hyperlink"/>
            <w:noProof/>
          </w:rPr>
          <w:t>4.8.4.</w:t>
        </w:r>
        <w:r>
          <w:rPr>
            <w:rFonts w:eastAsiaTheme="minorEastAsia"/>
            <w:noProof/>
            <w:color w:val="auto"/>
            <w:kern w:val="2"/>
            <w:sz w:val="24"/>
            <w:szCs w:val="24"/>
            <w:lang w:val="en-AU" w:eastAsia="en-AU"/>
            <w14:ligatures w14:val="standardContextual"/>
          </w:rPr>
          <w:tab/>
        </w:r>
        <w:r w:rsidRPr="009E5356">
          <w:rPr>
            <w:rStyle w:val="Hyperlink"/>
            <w:noProof/>
          </w:rPr>
          <w:t>VTS addressable situations</w:t>
        </w:r>
        <w:r>
          <w:rPr>
            <w:noProof/>
            <w:webHidden/>
          </w:rPr>
          <w:tab/>
        </w:r>
        <w:r>
          <w:rPr>
            <w:noProof/>
            <w:webHidden/>
          </w:rPr>
          <w:fldChar w:fldCharType="begin"/>
        </w:r>
        <w:r>
          <w:rPr>
            <w:noProof/>
            <w:webHidden/>
          </w:rPr>
          <w:instrText xml:space="preserve"> PAGEREF _Toc238036124 \h </w:instrText>
        </w:r>
        <w:r>
          <w:rPr>
            <w:noProof/>
            <w:webHidden/>
          </w:rPr>
        </w:r>
        <w:r>
          <w:rPr>
            <w:noProof/>
            <w:webHidden/>
          </w:rPr>
          <w:fldChar w:fldCharType="separate"/>
        </w:r>
        <w:r>
          <w:rPr>
            <w:noProof/>
            <w:webHidden/>
          </w:rPr>
          <w:t>18</w:t>
        </w:r>
        <w:r>
          <w:rPr>
            <w:noProof/>
            <w:webHidden/>
          </w:rPr>
          <w:fldChar w:fldCharType="end"/>
        </w:r>
      </w:hyperlink>
    </w:p>
    <w:p w14:paraId="0F2DB025" w14:textId="3DD5EF61" w:rsidR="00B6059E" w:rsidRDefault="00B6059E">
      <w:pPr>
        <w:pStyle w:val="TOC3"/>
        <w:tabs>
          <w:tab w:val="left" w:pos="1134"/>
        </w:tabs>
        <w:rPr>
          <w:rFonts w:eastAsiaTheme="minorEastAsia"/>
          <w:noProof/>
          <w:color w:val="auto"/>
          <w:kern w:val="2"/>
          <w:sz w:val="24"/>
          <w:szCs w:val="24"/>
          <w:lang w:val="en-AU" w:eastAsia="en-AU"/>
          <w14:ligatures w14:val="standardContextual"/>
        </w:rPr>
      </w:pPr>
      <w:hyperlink w:anchor="_Toc238036125" w:history="1">
        <w:r w:rsidRPr="009E5356">
          <w:rPr>
            <w:rStyle w:val="Hyperlink"/>
            <w:noProof/>
          </w:rPr>
          <w:t>4.8.5.</w:t>
        </w:r>
        <w:r>
          <w:rPr>
            <w:rFonts w:eastAsiaTheme="minorEastAsia"/>
            <w:noProof/>
            <w:color w:val="auto"/>
            <w:kern w:val="2"/>
            <w:sz w:val="24"/>
            <w:szCs w:val="24"/>
            <w:lang w:val="en-AU" w:eastAsia="en-AU"/>
            <w14:ligatures w14:val="standardContextual"/>
          </w:rPr>
          <w:tab/>
        </w:r>
        <w:r w:rsidRPr="009E5356">
          <w:rPr>
            <w:rStyle w:val="Hyperlink"/>
            <w:noProof/>
          </w:rPr>
          <w:t>Evaluation – VTS Attributable</w:t>
        </w:r>
        <w:r>
          <w:rPr>
            <w:noProof/>
            <w:webHidden/>
          </w:rPr>
          <w:tab/>
        </w:r>
        <w:r>
          <w:rPr>
            <w:noProof/>
            <w:webHidden/>
          </w:rPr>
          <w:fldChar w:fldCharType="begin"/>
        </w:r>
        <w:r>
          <w:rPr>
            <w:noProof/>
            <w:webHidden/>
          </w:rPr>
          <w:instrText xml:space="preserve"> PAGEREF _Toc238036125 \h </w:instrText>
        </w:r>
        <w:r>
          <w:rPr>
            <w:noProof/>
            <w:webHidden/>
          </w:rPr>
        </w:r>
        <w:r>
          <w:rPr>
            <w:noProof/>
            <w:webHidden/>
          </w:rPr>
          <w:fldChar w:fldCharType="separate"/>
        </w:r>
        <w:r>
          <w:rPr>
            <w:noProof/>
            <w:webHidden/>
          </w:rPr>
          <w:t>18</w:t>
        </w:r>
        <w:r>
          <w:rPr>
            <w:noProof/>
            <w:webHidden/>
          </w:rPr>
          <w:fldChar w:fldCharType="end"/>
        </w:r>
      </w:hyperlink>
    </w:p>
    <w:p w14:paraId="66CB282C" w14:textId="53AD741C" w:rsidR="00B6059E" w:rsidRDefault="00B6059E">
      <w:pPr>
        <w:pStyle w:val="TOC3"/>
        <w:tabs>
          <w:tab w:val="left" w:pos="1134"/>
        </w:tabs>
        <w:rPr>
          <w:rFonts w:eastAsiaTheme="minorEastAsia"/>
          <w:noProof/>
          <w:color w:val="auto"/>
          <w:kern w:val="2"/>
          <w:sz w:val="24"/>
          <w:szCs w:val="24"/>
          <w:lang w:val="en-AU" w:eastAsia="en-AU"/>
          <w14:ligatures w14:val="standardContextual"/>
        </w:rPr>
      </w:pPr>
      <w:hyperlink w:anchor="_Toc238036126" w:history="1">
        <w:r w:rsidRPr="009E5356">
          <w:rPr>
            <w:rStyle w:val="Hyperlink"/>
            <w:noProof/>
          </w:rPr>
          <w:t>4.8.6.</w:t>
        </w:r>
        <w:r>
          <w:rPr>
            <w:rFonts w:eastAsiaTheme="minorEastAsia"/>
            <w:noProof/>
            <w:color w:val="auto"/>
            <w:kern w:val="2"/>
            <w:sz w:val="24"/>
            <w:szCs w:val="24"/>
            <w:lang w:val="en-AU" w:eastAsia="en-AU"/>
            <w14:ligatures w14:val="standardContextual"/>
          </w:rPr>
          <w:tab/>
        </w:r>
        <w:r w:rsidRPr="009E5356">
          <w:rPr>
            <w:rStyle w:val="Hyperlink"/>
            <w:noProof/>
          </w:rPr>
          <w:t>Assessment and Review</w:t>
        </w:r>
        <w:r>
          <w:rPr>
            <w:noProof/>
            <w:webHidden/>
          </w:rPr>
          <w:tab/>
        </w:r>
        <w:r>
          <w:rPr>
            <w:noProof/>
            <w:webHidden/>
          </w:rPr>
          <w:fldChar w:fldCharType="begin"/>
        </w:r>
        <w:r>
          <w:rPr>
            <w:noProof/>
            <w:webHidden/>
          </w:rPr>
          <w:instrText xml:space="preserve"> PAGEREF _Toc238036126 \h </w:instrText>
        </w:r>
        <w:r>
          <w:rPr>
            <w:noProof/>
            <w:webHidden/>
          </w:rPr>
        </w:r>
        <w:r>
          <w:rPr>
            <w:noProof/>
            <w:webHidden/>
          </w:rPr>
          <w:fldChar w:fldCharType="separate"/>
        </w:r>
        <w:r>
          <w:rPr>
            <w:noProof/>
            <w:webHidden/>
          </w:rPr>
          <w:t>19</w:t>
        </w:r>
        <w:r>
          <w:rPr>
            <w:noProof/>
            <w:webHidden/>
          </w:rPr>
          <w:fldChar w:fldCharType="end"/>
        </w:r>
      </w:hyperlink>
    </w:p>
    <w:p w14:paraId="1AD10AAF" w14:textId="477E61E1" w:rsidR="00B6059E" w:rsidRDefault="00B6059E">
      <w:pPr>
        <w:pStyle w:val="TOC2"/>
        <w:rPr>
          <w:rFonts w:eastAsiaTheme="minorEastAsia"/>
          <w:color w:val="auto"/>
          <w:kern w:val="2"/>
          <w:sz w:val="24"/>
          <w:szCs w:val="24"/>
          <w:lang w:val="en-AU" w:eastAsia="en-AU"/>
          <w14:ligatures w14:val="standardContextual"/>
        </w:rPr>
      </w:pPr>
      <w:hyperlink w:anchor="_Toc238036127" w:history="1">
        <w:r w:rsidRPr="009E5356">
          <w:rPr>
            <w:rStyle w:val="Hyperlink"/>
          </w:rPr>
          <w:t>4.9.</w:t>
        </w:r>
        <w:r>
          <w:rPr>
            <w:rFonts w:eastAsiaTheme="minorEastAsia"/>
            <w:color w:val="auto"/>
            <w:kern w:val="2"/>
            <w:sz w:val="24"/>
            <w:szCs w:val="24"/>
            <w:lang w:val="en-AU" w:eastAsia="en-AU"/>
            <w14:ligatures w14:val="standardContextual"/>
          </w:rPr>
          <w:tab/>
        </w:r>
        <w:r w:rsidRPr="009E5356">
          <w:rPr>
            <w:rStyle w:val="Hyperlink"/>
          </w:rPr>
          <w:t>Examples</w:t>
        </w:r>
        <w:r>
          <w:rPr>
            <w:webHidden/>
          </w:rPr>
          <w:tab/>
        </w:r>
        <w:r>
          <w:rPr>
            <w:webHidden/>
          </w:rPr>
          <w:fldChar w:fldCharType="begin"/>
        </w:r>
        <w:r>
          <w:rPr>
            <w:webHidden/>
          </w:rPr>
          <w:instrText xml:space="preserve"> PAGEREF _Toc238036127 \h </w:instrText>
        </w:r>
        <w:r>
          <w:rPr>
            <w:webHidden/>
          </w:rPr>
        </w:r>
        <w:r>
          <w:rPr>
            <w:webHidden/>
          </w:rPr>
          <w:fldChar w:fldCharType="separate"/>
        </w:r>
        <w:r>
          <w:rPr>
            <w:webHidden/>
          </w:rPr>
          <w:t>19</w:t>
        </w:r>
        <w:r>
          <w:rPr>
            <w:webHidden/>
          </w:rPr>
          <w:fldChar w:fldCharType="end"/>
        </w:r>
      </w:hyperlink>
    </w:p>
    <w:p w14:paraId="6093A839" w14:textId="352B4143" w:rsidR="00B6059E" w:rsidRDefault="00B6059E">
      <w:pPr>
        <w:pStyle w:val="TOC1"/>
        <w:rPr>
          <w:rFonts w:eastAsiaTheme="minorEastAsia"/>
          <w:b w:val="0"/>
          <w:caps w:val="0"/>
          <w:color w:val="auto"/>
          <w:kern w:val="2"/>
          <w:sz w:val="24"/>
          <w:szCs w:val="24"/>
          <w:lang w:val="en-AU" w:eastAsia="en-AU"/>
          <w14:ligatures w14:val="standardContextual"/>
        </w:rPr>
      </w:pPr>
      <w:hyperlink w:anchor="_Toc238036128" w:history="1">
        <w:r w:rsidRPr="009E5356">
          <w:rPr>
            <w:rStyle w:val="Hyperlink"/>
          </w:rPr>
          <w:t>5.</w:t>
        </w:r>
        <w:r>
          <w:rPr>
            <w:rFonts w:eastAsiaTheme="minorEastAsia"/>
            <w:b w:val="0"/>
            <w:caps w:val="0"/>
            <w:color w:val="auto"/>
            <w:kern w:val="2"/>
            <w:sz w:val="24"/>
            <w:szCs w:val="24"/>
            <w:lang w:val="en-AU" w:eastAsia="en-AU"/>
            <w14:ligatures w14:val="standardContextual"/>
          </w:rPr>
          <w:tab/>
        </w:r>
        <w:r w:rsidRPr="009E5356">
          <w:rPr>
            <w:rStyle w:val="Hyperlink"/>
          </w:rPr>
          <w:t>Application of the methodology</w:t>
        </w:r>
        <w:r>
          <w:rPr>
            <w:webHidden/>
          </w:rPr>
          <w:tab/>
        </w:r>
        <w:r>
          <w:rPr>
            <w:webHidden/>
          </w:rPr>
          <w:fldChar w:fldCharType="begin"/>
        </w:r>
        <w:r>
          <w:rPr>
            <w:webHidden/>
          </w:rPr>
          <w:instrText xml:space="preserve"> PAGEREF _Toc238036128 \h </w:instrText>
        </w:r>
        <w:r>
          <w:rPr>
            <w:webHidden/>
          </w:rPr>
        </w:r>
        <w:r>
          <w:rPr>
            <w:webHidden/>
          </w:rPr>
          <w:fldChar w:fldCharType="separate"/>
        </w:r>
        <w:r>
          <w:rPr>
            <w:webHidden/>
          </w:rPr>
          <w:t>20</w:t>
        </w:r>
        <w:r>
          <w:rPr>
            <w:webHidden/>
          </w:rPr>
          <w:fldChar w:fldCharType="end"/>
        </w:r>
      </w:hyperlink>
    </w:p>
    <w:p w14:paraId="1BA98BF2" w14:textId="0682C420" w:rsidR="00B6059E" w:rsidRDefault="00B6059E">
      <w:pPr>
        <w:pStyle w:val="TOC2"/>
        <w:rPr>
          <w:rFonts w:eastAsiaTheme="minorEastAsia"/>
          <w:color w:val="auto"/>
          <w:kern w:val="2"/>
          <w:sz w:val="24"/>
          <w:szCs w:val="24"/>
          <w:lang w:val="en-AU" w:eastAsia="en-AU"/>
          <w14:ligatures w14:val="standardContextual"/>
        </w:rPr>
      </w:pPr>
      <w:hyperlink w:anchor="_Toc238036129" w:history="1">
        <w:r w:rsidRPr="009E5356">
          <w:rPr>
            <w:rStyle w:val="Hyperlink"/>
          </w:rPr>
          <w:t>5.1.</w:t>
        </w:r>
        <w:r>
          <w:rPr>
            <w:rFonts w:eastAsiaTheme="minorEastAsia"/>
            <w:color w:val="auto"/>
            <w:kern w:val="2"/>
            <w:sz w:val="24"/>
            <w:szCs w:val="24"/>
            <w:lang w:val="en-AU" w:eastAsia="en-AU"/>
            <w14:ligatures w14:val="standardContextual"/>
          </w:rPr>
          <w:tab/>
        </w:r>
        <w:r w:rsidRPr="009E5356">
          <w:rPr>
            <w:rStyle w:val="Hyperlink"/>
          </w:rPr>
          <w:t>Preparing the dataset</w:t>
        </w:r>
        <w:r>
          <w:rPr>
            <w:webHidden/>
          </w:rPr>
          <w:tab/>
        </w:r>
        <w:r>
          <w:rPr>
            <w:webHidden/>
          </w:rPr>
          <w:fldChar w:fldCharType="begin"/>
        </w:r>
        <w:r>
          <w:rPr>
            <w:webHidden/>
          </w:rPr>
          <w:instrText xml:space="preserve"> PAGEREF _Toc238036129 \h </w:instrText>
        </w:r>
        <w:r>
          <w:rPr>
            <w:webHidden/>
          </w:rPr>
        </w:r>
        <w:r>
          <w:rPr>
            <w:webHidden/>
          </w:rPr>
          <w:fldChar w:fldCharType="separate"/>
        </w:r>
        <w:r>
          <w:rPr>
            <w:webHidden/>
          </w:rPr>
          <w:t>20</w:t>
        </w:r>
        <w:r>
          <w:rPr>
            <w:webHidden/>
          </w:rPr>
          <w:fldChar w:fldCharType="end"/>
        </w:r>
      </w:hyperlink>
    </w:p>
    <w:p w14:paraId="526A7258" w14:textId="6E71A96C" w:rsidR="00B6059E" w:rsidRDefault="00B6059E">
      <w:pPr>
        <w:pStyle w:val="TOC2"/>
        <w:rPr>
          <w:rFonts w:eastAsiaTheme="minorEastAsia"/>
          <w:color w:val="auto"/>
          <w:kern w:val="2"/>
          <w:sz w:val="24"/>
          <w:szCs w:val="24"/>
          <w:lang w:val="en-AU" w:eastAsia="en-AU"/>
          <w14:ligatures w14:val="standardContextual"/>
        </w:rPr>
      </w:pPr>
      <w:hyperlink w:anchor="_Toc238036130" w:history="1">
        <w:r w:rsidRPr="009E5356">
          <w:rPr>
            <w:rStyle w:val="Hyperlink"/>
          </w:rPr>
          <w:t>5.2.</w:t>
        </w:r>
        <w:r>
          <w:rPr>
            <w:rFonts w:eastAsiaTheme="minorEastAsia"/>
            <w:color w:val="auto"/>
            <w:kern w:val="2"/>
            <w:sz w:val="24"/>
            <w:szCs w:val="24"/>
            <w:lang w:val="en-AU" w:eastAsia="en-AU"/>
            <w14:ligatures w14:val="standardContextual"/>
          </w:rPr>
          <w:tab/>
        </w:r>
        <w:r w:rsidRPr="009E5356">
          <w:rPr>
            <w:rStyle w:val="Hyperlink"/>
          </w:rPr>
          <w:t>Generating Graphical Outputs</w:t>
        </w:r>
        <w:r>
          <w:rPr>
            <w:webHidden/>
          </w:rPr>
          <w:tab/>
        </w:r>
        <w:r>
          <w:rPr>
            <w:webHidden/>
          </w:rPr>
          <w:fldChar w:fldCharType="begin"/>
        </w:r>
        <w:r>
          <w:rPr>
            <w:webHidden/>
          </w:rPr>
          <w:instrText xml:space="preserve"> PAGEREF _Toc238036130 \h </w:instrText>
        </w:r>
        <w:r>
          <w:rPr>
            <w:webHidden/>
          </w:rPr>
        </w:r>
        <w:r>
          <w:rPr>
            <w:webHidden/>
          </w:rPr>
          <w:fldChar w:fldCharType="separate"/>
        </w:r>
        <w:r>
          <w:rPr>
            <w:webHidden/>
          </w:rPr>
          <w:t>21</w:t>
        </w:r>
        <w:r>
          <w:rPr>
            <w:webHidden/>
          </w:rPr>
          <w:fldChar w:fldCharType="end"/>
        </w:r>
      </w:hyperlink>
    </w:p>
    <w:p w14:paraId="58B172FB" w14:textId="008F2BA1" w:rsidR="00B6059E" w:rsidRDefault="00B6059E">
      <w:pPr>
        <w:pStyle w:val="TOC2"/>
        <w:rPr>
          <w:rFonts w:eastAsiaTheme="minorEastAsia"/>
          <w:color w:val="auto"/>
          <w:kern w:val="2"/>
          <w:sz w:val="24"/>
          <w:szCs w:val="24"/>
          <w:lang w:val="en-AU" w:eastAsia="en-AU"/>
          <w14:ligatures w14:val="standardContextual"/>
        </w:rPr>
      </w:pPr>
      <w:hyperlink w:anchor="_Toc238036131" w:history="1">
        <w:r w:rsidRPr="009E5356">
          <w:rPr>
            <w:rStyle w:val="Hyperlink"/>
          </w:rPr>
          <w:t>5.3.</w:t>
        </w:r>
        <w:r>
          <w:rPr>
            <w:rFonts w:eastAsiaTheme="minorEastAsia"/>
            <w:color w:val="auto"/>
            <w:kern w:val="2"/>
            <w:sz w:val="24"/>
            <w:szCs w:val="24"/>
            <w:lang w:val="en-AU" w:eastAsia="en-AU"/>
            <w14:ligatures w14:val="standardContextual"/>
          </w:rPr>
          <w:tab/>
        </w:r>
        <w:r w:rsidRPr="009E5356">
          <w:rPr>
            <w:rStyle w:val="Hyperlink"/>
          </w:rPr>
          <w:t>Assessment and review</w:t>
        </w:r>
        <w:r>
          <w:rPr>
            <w:webHidden/>
          </w:rPr>
          <w:tab/>
        </w:r>
        <w:r>
          <w:rPr>
            <w:webHidden/>
          </w:rPr>
          <w:fldChar w:fldCharType="begin"/>
        </w:r>
        <w:r>
          <w:rPr>
            <w:webHidden/>
          </w:rPr>
          <w:instrText xml:space="preserve"> PAGEREF _Toc238036131 \h </w:instrText>
        </w:r>
        <w:r>
          <w:rPr>
            <w:webHidden/>
          </w:rPr>
        </w:r>
        <w:r>
          <w:rPr>
            <w:webHidden/>
          </w:rPr>
          <w:fldChar w:fldCharType="separate"/>
        </w:r>
        <w:r>
          <w:rPr>
            <w:webHidden/>
          </w:rPr>
          <w:t>21</w:t>
        </w:r>
        <w:r>
          <w:rPr>
            <w:webHidden/>
          </w:rPr>
          <w:fldChar w:fldCharType="end"/>
        </w:r>
      </w:hyperlink>
    </w:p>
    <w:p w14:paraId="2A94FF4C" w14:textId="27C71700" w:rsidR="00B6059E" w:rsidRDefault="00B6059E">
      <w:pPr>
        <w:pStyle w:val="TOC2"/>
        <w:rPr>
          <w:rFonts w:eastAsiaTheme="minorEastAsia"/>
          <w:color w:val="auto"/>
          <w:kern w:val="2"/>
          <w:sz w:val="24"/>
          <w:szCs w:val="24"/>
          <w:lang w:val="en-AU" w:eastAsia="en-AU"/>
          <w14:ligatures w14:val="standardContextual"/>
        </w:rPr>
      </w:pPr>
      <w:hyperlink w:anchor="_Toc238036132" w:history="1">
        <w:r w:rsidRPr="009E5356">
          <w:rPr>
            <w:rStyle w:val="Hyperlink"/>
          </w:rPr>
          <w:t>5.4.</w:t>
        </w:r>
        <w:r>
          <w:rPr>
            <w:rFonts w:eastAsiaTheme="minorEastAsia"/>
            <w:color w:val="auto"/>
            <w:kern w:val="2"/>
            <w:sz w:val="24"/>
            <w:szCs w:val="24"/>
            <w:lang w:val="en-AU" w:eastAsia="en-AU"/>
            <w14:ligatures w14:val="standardContextual"/>
          </w:rPr>
          <w:tab/>
        </w:r>
        <w:r w:rsidRPr="009E5356">
          <w:rPr>
            <w:rStyle w:val="Hyperlink"/>
          </w:rPr>
          <w:t>Interpreting the outputs</w:t>
        </w:r>
        <w:r>
          <w:rPr>
            <w:webHidden/>
          </w:rPr>
          <w:tab/>
        </w:r>
        <w:r>
          <w:rPr>
            <w:webHidden/>
          </w:rPr>
          <w:fldChar w:fldCharType="begin"/>
        </w:r>
        <w:r>
          <w:rPr>
            <w:webHidden/>
          </w:rPr>
          <w:instrText xml:space="preserve"> PAGEREF _Toc238036132 \h </w:instrText>
        </w:r>
        <w:r>
          <w:rPr>
            <w:webHidden/>
          </w:rPr>
        </w:r>
        <w:r>
          <w:rPr>
            <w:webHidden/>
          </w:rPr>
          <w:fldChar w:fldCharType="separate"/>
        </w:r>
        <w:r>
          <w:rPr>
            <w:webHidden/>
          </w:rPr>
          <w:t>21</w:t>
        </w:r>
        <w:r>
          <w:rPr>
            <w:webHidden/>
          </w:rPr>
          <w:fldChar w:fldCharType="end"/>
        </w:r>
      </w:hyperlink>
    </w:p>
    <w:p w14:paraId="3112C09B" w14:textId="335C0BC1" w:rsidR="00B6059E" w:rsidRDefault="00B6059E">
      <w:pPr>
        <w:pStyle w:val="TOC2"/>
        <w:rPr>
          <w:rFonts w:eastAsiaTheme="minorEastAsia"/>
          <w:color w:val="auto"/>
          <w:kern w:val="2"/>
          <w:sz w:val="24"/>
          <w:szCs w:val="24"/>
          <w:lang w:val="en-AU" w:eastAsia="en-AU"/>
          <w14:ligatures w14:val="standardContextual"/>
        </w:rPr>
      </w:pPr>
      <w:hyperlink w:anchor="_Toc238036133" w:history="1">
        <w:r w:rsidRPr="009E5356">
          <w:rPr>
            <w:rStyle w:val="Hyperlink"/>
          </w:rPr>
          <w:t>5.5.</w:t>
        </w:r>
        <w:r>
          <w:rPr>
            <w:rFonts w:eastAsiaTheme="minorEastAsia"/>
            <w:color w:val="auto"/>
            <w:kern w:val="2"/>
            <w:sz w:val="24"/>
            <w:szCs w:val="24"/>
            <w:lang w:val="en-AU" w:eastAsia="en-AU"/>
            <w14:ligatures w14:val="standardContextual"/>
          </w:rPr>
          <w:tab/>
        </w:r>
        <w:r w:rsidRPr="009E5356">
          <w:rPr>
            <w:rStyle w:val="Hyperlink"/>
          </w:rPr>
          <w:t>Reporting VTS Contribution</w:t>
        </w:r>
        <w:r>
          <w:rPr>
            <w:webHidden/>
          </w:rPr>
          <w:tab/>
        </w:r>
        <w:r>
          <w:rPr>
            <w:webHidden/>
          </w:rPr>
          <w:fldChar w:fldCharType="begin"/>
        </w:r>
        <w:r>
          <w:rPr>
            <w:webHidden/>
          </w:rPr>
          <w:instrText xml:space="preserve"> PAGEREF _Toc238036133 \h </w:instrText>
        </w:r>
        <w:r>
          <w:rPr>
            <w:webHidden/>
          </w:rPr>
        </w:r>
        <w:r>
          <w:rPr>
            <w:webHidden/>
          </w:rPr>
          <w:fldChar w:fldCharType="separate"/>
        </w:r>
        <w:r>
          <w:rPr>
            <w:webHidden/>
          </w:rPr>
          <w:t>21</w:t>
        </w:r>
        <w:r>
          <w:rPr>
            <w:webHidden/>
          </w:rPr>
          <w:fldChar w:fldCharType="end"/>
        </w:r>
      </w:hyperlink>
    </w:p>
    <w:p w14:paraId="3773C46A" w14:textId="2723DBB8" w:rsidR="00B6059E" w:rsidRDefault="00B6059E">
      <w:pPr>
        <w:pStyle w:val="TOC1"/>
        <w:rPr>
          <w:rFonts w:eastAsiaTheme="minorEastAsia"/>
          <w:b w:val="0"/>
          <w:caps w:val="0"/>
          <w:color w:val="auto"/>
          <w:kern w:val="2"/>
          <w:sz w:val="24"/>
          <w:szCs w:val="24"/>
          <w:lang w:val="en-AU" w:eastAsia="en-AU"/>
          <w14:ligatures w14:val="standardContextual"/>
        </w:rPr>
      </w:pPr>
      <w:hyperlink w:anchor="_Toc238036134" w:history="1">
        <w:r w:rsidRPr="009E5356">
          <w:rPr>
            <w:rStyle w:val="Hyperlink"/>
          </w:rPr>
          <w:t>6.</w:t>
        </w:r>
        <w:r>
          <w:rPr>
            <w:rFonts w:eastAsiaTheme="minorEastAsia"/>
            <w:b w:val="0"/>
            <w:caps w:val="0"/>
            <w:color w:val="auto"/>
            <w:kern w:val="2"/>
            <w:sz w:val="24"/>
            <w:szCs w:val="24"/>
            <w:lang w:val="en-AU" w:eastAsia="en-AU"/>
            <w14:ligatures w14:val="standardContextual"/>
          </w:rPr>
          <w:tab/>
        </w:r>
        <w:r w:rsidRPr="009E5356">
          <w:rPr>
            <w:rStyle w:val="Hyperlink"/>
          </w:rPr>
          <w:t>Integration, assurance and continuous improvement</w:t>
        </w:r>
        <w:r>
          <w:rPr>
            <w:webHidden/>
          </w:rPr>
          <w:tab/>
        </w:r>
        <w:r>
          <w:rPr>
            <w:webHidden/>
          </w:rPr>
          <w:fldChar w:fldCharType="begin"/>
        </w:r>
        <w:r>
          <w:rPr>
            <w:webHidden/>
          </w:rPr>
          <w:instrText xml:space="preserve"> PAGEREF _Toc238036134 \h </w:instrText>
        </w:r>
        <w:r>
          <w:rPr>
            <w:webHidden/>
          </w:rPr>
        </w:r>
        <w:r>
          <w:rPr>
            <w:webHidden/>
          </w:rPr>
          <w:fldChar w:fldCharType="separate"/>
        </w:r>
        <w:r>
          <w:rPr>
            <w:webHidden/>
          </w:rPr>
          <w:t>22</w:t>
        </w:r>
        <w:r>
          <w:rPr>
            <w:webHidden/>
          </w:rPr>
          <w:fldChar w:fldCharType="end"/>
        </w:r>
      </w:hyperlink>
    </w:p>
    <w:p w14:paraId="6F42E2A2" w14:textId="0D812A9E" w:rsidR="00B6059E" w:rsidRDefault="00B6059E">
      <w:pPr>
        <w:pStyle w:val="TOC2"/>
        <w:rPr>
          <w:rFonts w:eastAsiaTheme="minorEastAsia"/>
          <w:color w:val="auto"/>
          <w:kern w:val="2"/>
          <w:sz w:val="24"/>
          <w:szCs w:val="24"/>
          <w:lang w:val="en-AU" w:eastAsia="en-AU"/>
          <w14:ligatures w14:val="standardContextual"/>
        </w:rPr>
      </w:pPr>
      <w:hyperlink w:anchor="_Toc238036135" w:history="1">
        <w:r w:rsidRPr="009E5356">
          <w:rPr>
            <w:rStyle w:val="Hyperlink"/>
          </w:rPr>
          <w:t>6.1.</w:t>
        </w:r>
        <w:r>
          <w:rPr>
            <w:rFonts w:eastAsiaTheme="minorEastAsia"/>
            <w:color w:val="auto"/>
            <w:kern w:val="2"/>
            <w:sz w:val="24"/>
            <w:szCs w:val="24"/>
            <w:lang w:val="en-AU" w:eastAsia="en-AU"/>
            <w14:ligatures w14:val="standardContextual"/>
          </w:rPr>
          <w:tab/>
        </w:r>
        <w:r w:rsidRPr="009E5356">
          <w:rPr>
            <w:rStyle w:val="Hyperlink"/>
          </w:rPr>
          <w:t>Integration with the Wider Safety System</w:t>
        </w:r>
        <w:r>
          <w:rPr>
            <w:webHidden/>
          </w:rPr>
          <w:tab/>
        </w:r>
        <w:r>
          <w:rPr>
            <w:webHidden/>
          </w:rPr>
          <w:fldChar w:fldCharType="begin"/>
        </w:r>
        <w:r>
          <w:rPr>
            <w:webHidden/>
          </w:rPr>
          <w:instrText xml:space="preserve"> PAGEREF _Toc238036135 \h </w:instrText>
        </w:r>
        <w:r>
          <w:rPr>
            <w:webHidden/>
          </w:rPr>
        </w:r>
        <w:r>
          <w:rPr>
            <w:webHidden/>
          </w:rPr>
          <w:fldChar w:fldCharType="separate"/>
        </w:r>
        <w:r>
          <w:rPr>
            <w:webHidden/>
          </w:rPr>
          <w:t>22</w:t>
        </w:r>
        <w:r>
          <w:rPr>
            <w:webHidden/>
          </w:rPr>
          <w:fldChar w:fldCharType="end"/>
        </w:r>
      </w:hyperlink>
    </w:p>
    <w:p w14:paraId="73FD4FAB" w14:textId="2B02B22F" w:rsidR="00B6059E" w:rsidRDefault="00B6059E">
      <w:pPr>
        <w:pStyle w:val="TOC2"/>
        <w:rPr>
          <w:rFonts w:eastAsiaTheme="minorEastAsia"/>
          <w:color w:val="auto"/>
          <w:kern w:val="2"/>
          <w:sz w:val="24"/>
          <w:szCs w:val="24"/>
          <w:lang w:val="en-AU" w:eastAsia="en-AU"/>
          <w14:ligatures w14:val="standardContextual"/>
        </w:rPr>
      </w:pPr>
      <w:hyperlink w:anchor="_Toc238036136" w:history="1">
        <w:r w:rsidRPr="009E5356">
          <w:rPr>
            <w:rStyle w:val="Hyperlink"/>
          </w:rPr>
          <w:t>6.2.</w:t>
        </w:r>
        <w:r>
          <w:rPr>
            <w:rFonts w:eastAsiaTheme="minorEastAsia"/>
            <w:color w:val="auto"/>
            <w:kern w:val="2"/>
            <w:sz w:val="24"/>
            <w:szCs w:val="24"/>
            <w:lang w:val="en-AU" w:eastAsia="en-AU"/>
            <w14:ligatures w14:val="standardContextual"/>
          </w:rPr>
          <w:tab/>
        </w:r>
        <w:r w:rsidRPr="009E5356">
          <w:rPr>
            <w:rStyle w:val="Hyperlink"/>
          </w:rPr>
          <w:t>Assurance and Regulatory Reporting</w:t>
        </w:r>
        <w:r>
          <w:rPr>
            <w:webHidden/>
          </w:rPr>
          <w:tab/>
        </w:r>
        <w:r>
          <w:rPr>
            <w:webHidden/>
          </w:rPr>
          <w:fldChar w:fldCharType="begin"/>
        </w:r>
        <w:r>
          <w:rPr>
            <w:webHidden/>
          </w:rPr>
          <w:instrText xml:space="preserve"> PAGEREF _Toc238036136 \h </w:instrText>
        </w:r>
        <w:r>
          <w:rPr>
            <w:webHidden/>
          </w:rPr>
        </w:r>
        <w:r>
          <w:rPr>
            <w:webHidden/>
          </w:rPr>
          <w:fldChar w:fldCharType="separate"/>
        </w:r>
        <w:r>
          <w:rPr>
            <w:webHidden/>
          </w:rPr>
          <w:t>22</w:t>
        </w:r>
        <w:r>
          <w:rPr>
            <w:webHidden/>
          </w:rPr>
          <w:fldChar w:fldCharType="end"/>
        </w:r>
      </w:hyperlink>
    </w:p>
    <w:p w14:paraId="57E645D6" w14:textId="7595BB01" w:rsidR="00B6059E" w:rsidRDefault="00B6059E">
      <w:pPr>
        <w:pStyle w:val="TOC2"/>
        <w:rPr>
          <w:rFonts w:eastAsiaTheme="minorEastAsia"/>
          <w:color w:val="auto"/>
          <w:kern w:val="2"/>
          <w:sz w:val="24"/>
          <w:szCs w:val="24"/>
          <w:lang w:val="en-AU" w:eastAsia="en-AU"/>
          <w14:ligatures w14:val="standardContextual"/>
        </w:rPr>
      </w:pPr>
      <w:hyperlink w:anchor="_Toc238036137" w:history="1">
        <w:r w:rsidRPr="009E5356">
          <w:rPr>
            <w:rStyle w:val="Hyperlink"/>
          </w:rPr>
          <w:t>6.3.</w:t>
        </w:r>
        <w:r>
          <w:rPr>
            <w:rFonts w:eastAsiaTheme="minorEastAsia"/>
            <w:color w:val="auto"/>
            <w:kern w:val="2"/>
            <w:sz w:val="24"/>
            <w:szCs w:val="24"/>
            <w:lang w:val="en-AU" w:eastAsia="en-AU"/>
            <w14:ligatures w14:val="standardContextual"/>
          </w:rPr>
          <w:tab/>
        </w:r>
        <w:r w:rsidRPr="009E5356">
          <w:rPr>
            <w:rStyle w:val="Hyperlink"/>
          </w:rPr>
          <w:t>Organisational Learning and Continuous Improvement</w:t>
        </w:r>
        <w:r>
          <w:rPr>
            <w:webHidden/>
          </w:rPr>
          <w:tab/>
        </w:r>
        <w:r>
          <w:rPr>
            <w:webHidden/>
          </w:rPr>
          <w:fldChar w:fldCharType="begin"/>
        </w:r>
        <w:r>
          <w:rPr>
            <w:webHidden/>
          </w:rPr>
          <w:instrText xml:space="preserve"> PAGEREF _Toc238036137 \h </w:instrText>
        </w:r>
        <w:r>
          <w:rPr>
            <w:webHidden/>
          </w:rPr>
        </w:r>
        <w:r>
          <w:rPr>
            <w:webHidden/>
          </w:rPr>
          <w:fldChar w:fldCharType="separate"/>
        </w:r>
        <w:r>
          <w:rPr>
            <w:webHidden/>
          </w:rPr>
          <w:t>22</w:t>
        </w:r>
        <w:r>
          <w:rPr>
            <w:webHidden/>
          </w:rPr>
          <w:fldChar w:fldCharType="end"/>
        </w:r>
      </w:hyperlink>
    </w:p>
    <w:p w14:paraId="3812002E" w14:textId="44B93298" w:rsidR="00B6059E" w:rsidRDefault="00B6059E">
      <w:pPr>
        <w:pStyle w:val="TOC2"/>
        <w:rPr>
          <w:rFonts w:eastAsiaTheme="minorEastAsia"/>
          <w:color w:val="auto"/>
          <w:kern w:val="2"/>
          <w:sz w:val="24"/>
          <w:szCs w:val="24"/>
          <w:lang w:val="en-AU" w:eastAsia="en-AU"/>
          <w14:ligatures w14:val="standardContextual"/>
        </w:rPr>
      </w:pPr>
      <w:hyperlink w:anchor="_Toc238036138" w:history="1">
        <w:r w:rsidRPr="009E5356">
          <w:rPr>
            <w:rStyle w:val="Hyperlink"/>
          </w:rPr>
          <w:t>6.4.</w:t>
        </w:r>
        <w:r>
          <w:rPr>
            <w:rFonts w:eastAsiaTheme="minorEastAsia"/>
            <w:color w:val="auto"/>
            <w:kern w:val="2"/>
            <w:sz w:val="24"/>
            <w:szCs w:val="24"/>
            <w:lang w:val="en-AU" w:eastAsia="en-AU"/>
            <w14:ligatures w14:val="standardContextual"/>
          </w:rPr>
          <w:tab/>
        </w:r>
        <w:r w:rsidRPr="009E5356">
          <w:rPr>
            <w:rStyle w:val="Hyperlink"/>
          </w:rPr>
          <w:t>Communication with Stakeholders</w:t>
        </w:r>
        <w:r>
          <w:rPr>
            <w:webHidden/>
          </w:rPr>
          <w:tab/>
        </w:r>
        <w:r>
          <w:rPr>
            <w:webHidden/>
          </w:rPr>
          <w:fldChar w:fldCharType="begin"/>
        </w:r>
        <w:r>
          <w:rPr>
            <w:webHidden/>
          </w:rPr>
          <w:instrText xml:space="preserve"> PAGEREF _Toc238036138 \h </w:instrText>
        </w:r>
        <w:r>
          <w:rPr>
            <w:webHidden/>
          </w:rPr>
        </w:r>
        <w:r>
          <w:rPr>
            <w:webHidden/>
          </w:rPr>
          <w:fldChar w:fldCharType="separate"/>
        </w:r>
        <w:r>
          <w:rPr>
            <w:webHidden/>
          </w:rPr>
          <w:t>23</w:t>
        </w:r>
        <w:r>
          <w:rPr>
            <w:webHidden/>
          </w:rPr>
          <w:fldChar w:fldCharType="end"/>
        </w:r>
      </w:hyperlink>
    </w:p>
    <w:p w14:paraId="259DAB98" w14:textId="40E7D136" w:rsidR="00B6059E" w:rsidRDefault="00B6059E">
      <w:pPr>
        <w:pStyle w:val="TOC2"/>
        <w:rPr>
          <w:rFonts w:eastAsiaTheme="minorEastAsia"/>
          <w:color w:val="auto"/>
          <w:kern w:val="2"/>
          <w:sz w:val="24"/>
          <w:szCs w:val="24"/>
          <w:lang w:val="en-AU" w:eastAsia="en-AU"/>
          <w14:ligatures w14:val="standardContextual"/>
        </w:rPr>
      </w:pPr>
      <w:hyperlink w:anchor="_Toc238036139" w:history="1">
        <w:r w:rsidRPr="009E5356">
          <w:rPr>
            <w:rStyle w:val="Hyperlink"/>
          </w:rPr>
          <w:t>6.5.</w:t>
        </w:r>
        <w:r>
          <w:rPr>
            <w:rFonts w:eastAsiaTheme="minorEastAsia"/>
            <w:color w:val="auto"/>
            <w:kern w:val="2"/>
            <w:sz w:val="24"/>
            <w:szCs w:val="24"/>
            <w:lang w:val="en-AU" w:eastAsia="en-AU"/>
            <w14:ligatures w14:val="standardContextual"/>
          </w:rPr>
          <w:tab/>
        </w:r>
        <w:r w:rsidRPr="009E5356">
          <w:rPr>
            <w:rStyle w:val="Hyperlink"/>
          </w:rPr>
          <w:t>Embedding the Methodology into Routine Practice</w:t>
        </w:r>
        <w:r>
          <w:rPr>
            <w:webHidden/>
          </w:rPr>
          <w:tab/>
        </w:r>
        <w:r>
          <w:rPr>
            <w:webHidden/>
          </w:rPr>
          <w:fldChar w:fldCharType="begin"/>
        </w:r>
        <w:r>
          <w:rPr>
            <w:webHidden/>
          </w:rPr>
          <w:instrText xml:space="preserve"> PAGEREF _Toc238036139 \h </w:instrText>
        </w:r>
        <w:r>
          <w:rPr>
            <w:webHidden/>
          </w:rPr>
        </w:r>
        <w:r>
          <w:rPr>
            <w:webHidden/>
          </w:rPr>
          <w:fldChar w:fldCharType="separate"/>
        </w:r>
        <w:r>
          <w:rPr>
            <w:webHidden/>
          </w:rPr>
          <w:t>23</w:t>
        </w:r>
        <w:r>
          <w:rPr>
            <w:webHidden/>
          </w:rPr>
          <w:fldChar w:fldCharType="end"/>
        </w:r>
      </w:hyperlink>
    </w:p>
    <w:p w14:paraId="2CCCB99E" w14:textId="199ECB5B" w:rsidR="00B6059E" w:rsidRDefault="00B6059E">
      <w:pPr>
        <w:pStyle w:val="TOC1"/>
        <w:rPr>
          <w:rFonts w:eastAsiaTheme="minorEastAsia"/>
          <w:b w:val="0"/>
          <w:caps w:val="0"/>
          <w:color w:val="auto"/>
          <w:kern w:val="2"/>
          <w:sz w:val="24"/>
          <w:szCs w:val="24"/>
          <w:lang w:val="en-AU" w:eastAsia="en-AU"/>
          <w14:ligatures w14:val="standardContextual"/>
        </w:rPr>
      </w:pPr>
      <w:hyperlink w:anchor="_Toc238036140" w:history="1">
        <w:r w:rsidRPr="009E5356">
          <w:rPr>
            <w:rStyle w:val="Hyperlink"/>
          </w:rPr>
          <w:t>7.</w:t>
        </w:r>
        <w:r>
          <w:rPr>
            <w:rFonts w:eastAsiaTheme="minorEastAsia"/>
            <w:b w:val="0"/>
            <w:caps w:val="0"/>
            <w:color w:val="auto"/>
            <w:kern w:val="2"/>
            <w:sz w:val="24"/>
            <w:szCs w:val="24"/>
            <w:lang w:val="en-AU" w:eastAsia="en-AU"/>
            <w14:ligatures w14:val="standardContextual"/>
          </w:rPr>
          <w:tab/>
        </w:r>
        <w:r w:rsidRPr="009E5356">
          <w:rPr>
            <w:rStyle w:val="Hyperlink"/>
          </w:rPr>
          <w:t>Definitions</w:t>
        </w:r>
        <w:r>
          <w:rPr>
            <w:webHidden/>
          </w:rPr>
          <w:tab/>
        </w:r>
        <w:r>
          <w:rPr>
            <w:webHidden/>
          </w:rPr>
          <w:fldChar w:fldCharType="begin"/>
        </w:r>
        <w:r>
          <w:rPr>
            <w:webHidden/>
          </w:rPr>
          <w:instrText xml:space="preserve"> PAGEREF _Toc238036140 \h </w:instrText>
        </w:r>
        <w:r>
          <w:rPr>
            <w:webHidden/>
          </w:rPr>
        </w:r>
        <w:r>
          <w:rPr>
            <w:webHidden/>
          </w:rPr>
          <w:fldChar w:fldCharType="separate"/>
        </w:r>
        <w:r>
          <w:rPr>
            <w:webHidden/>
          </w:rPr>
          <w:t>23</w:t>
        </w:r>
        <w:r>
          <w:rPr>
            <w:webHidden/>
          </w:rPr>
          <w:fldChar w:fldCharType="end"/>
        </w:r>
      </w:hyperlink>
    </w:p>
    <w:p w14:paraId="44F99C3E" w14:textId="2EFF6C88" w:rsidR="00B6059E" w:rsidRDefault="00B6059E">
      <w:pPr>
        <w:pStyle w:val="TOC2"/>
        <w:rPr>
          <w:rFonts w:eastAsiaTheme="minorEastAsia"/>
          <w:color w:val="auto"/>
          <w:kern w:val="2"/>
          <w:sz w:val="24"/>
          <w:szCs w:val="24"/>
          <w:lang w:val="en-AU" w:eastAsia="en-AU"/>
          <w14:ligatures w14:val="standardContextual"/>
        </w:rPr>
      </w:pPr>
      <w:hyperlink w:anchor="_Toc238036141" w:history="1">
        <w:r w:rsidRPr="009E5356">
          <w:rPr>
            <w:rStyle w:val="Hyperlink"/>
            <w:kern w:val="36"/>
            <w:lang w:val="en-AU" w:eastAsia="en-AU"/>
          </w:rPr>
          <w:t>7.1.</w:t>
        </w:r>
        <w:r>
          <w:rPr>
            <w:rFonts w:eastAsiaTheme="minorEastAsia"/>
            <w:color w:val="auto"/>
            <w:kern w:val="2"/>
            <w:sz w:val="24"/>
            <w:szCs w:val="24"/>
            <w:lang w:val="en-AU" w:eastAsia="en-AU"/>
            <w14:ligatures w14:val="standardContextual"/>
          </w:rPr>
          <w:tab/>
        </w:r>
        <w:r w:rsidRPr="009E5356">
          <w:rPr>
            <w:rStyle w:val="Hyperlink"/>
          </w:rPr>
          <w:t>References</w:t>
        </w:r>
        <w:r>
          <w:rPr>
            <w:webHidden/>
          </w:rPr>
          <w:tab/>
        </w:r>
        <w:r>
          <w:rPr>
            <w:webHidden/>
          </w:rPr>
          <w:fldChar w:fldCharType="begin"/>
        </w:r>
        <w:r>
          <w:rPr>
            <w:webHidden/>
          </w:rPr>
          <w:instrText xml:space="preserve"> PAGEREF _Toc238036141 \h </w:instrText>
        </w:r>
        <w:r>
          <w:rPr>
            <w:webHidden/>
          </w:rPr>
        </w:r>
        <w:r>
          <w:rPr>
            <w:webHidden/>
          </w:rPr>
          <w:fldChar w:fldCharType="separate"/>
        </w:r>
        <w:r>
          <w:rPr>
            <w:webHidden/>
          </w:rPr>
          <w:t>24</w:t>
        </w:r>
        <w:r>
          <w:rPr>
            <w:webHidden/>
          </w:rPr>
          <w:fldChar w:fldCharType="end"/>
        </w:r>
      </w:hyperlink>
    </w:p>
    <w:p w14:paraId="36EBD90E" w14:textId="715DC720" w:rsidR="00B6059E" w:rsidRDefault="00B6059E">
      <w:pPr>
        <w:pStyle w:val="TOC1"/>
        <w:rPr>
          <w:rFonts w:eastAsiaTheme="minorEastAsia"/>
          <w:b w:val="0"/>
          <w:caps w:val="0"/>
          <w:color w:val="auto"/>
          <w:kern w:val="2"/>
          <w:sz w:val="24"/>
          <w:szCs w:val="24"/>
          <w:lang w:val="en-AU" w:eastAsia="en-AU"/>
          <w14:ligatures w14:val="standardContextual"/>
        </w:rPr>
      </w:pPr>
      <w:hyperlink w:anchor="_Toc238036142" w:history="1">
        <w:r w:rsidRPr="009E5356">
          <w:rPr>
            <w:rStyle w:val="Hyperlink"/>
            <w:rFonts w:eastAsia="Times New Roman" w:cstheme="minorHAnsi"/>
            <w:bCs/>
            <w:kern w:val="36"/>
            <w:lang w:val="en-AU" w:eastAsia="en-AU"/>
          </w:rPr>
          <w:t>ANNEX A</w:t>
        </w:r>
        <w:r>
          <w:rPr>
            <w:webHidden/>
          </w:rPr>
          <w:tab/>
        </w:r>
        <w:r>
          <w:rPr>
            <w:webHidden/>
          </w:rPr>
          <w:fldChar w:fldCharType="begin"/>
        </w:r>
        <w:r>
          <w:rPr>
            <w:webHidden/>
          </w:rPr>
          <w:instrText xml:space="preserve"> PAGEREF _Toc238036142 \h </w:instrText>
        </w:r>
        <w:r>
          <w:rPr>
            <w:webHidden/>
          </w:rPr>
        </w:r>
        <w:r>
          <w:rPr>
            <w:webHidden/>
          </w:rPr>
          <w:fldChar w:fldCharType="separate"/>
        </w:r>
        <w:r>
          <w:rPr>
            <w:webHidden/>
          </w:rPr>
          <w:t>25</w:t>
        </w:r>
        <w:r>
          <w:rPr>
            <w:webHidden/>
          </w:rPr>
          <w:fldChar w:fldCharType="end"/>
        </w:r>
      </w:hyperlink>
    </w:p>
    <w:p w14:paraId="10F2C275" w14:textId="4BF598E7" w:rsidR="00B6059E" w:rsidRDefault="00B6059E">
      <w:pPr>
        <w:pStyle w:val="TOC1"/>
        <w:rPr>
          <w:rFonts w:eastAsiaTheme="minorEastAsia"/>
          <w:b w:val="0"/>
          <w:caps w:val="0"/>
          <w:color w:val="auto"/>
          <w:kern w:val="2"/>
          <w:sz w:val="24"/>
          <w:szCs w:val="24"/>
          <w:lang w:val="en-AU" w:eastAsia="en-AU"/>
          <w14:ligatures w14:val="standardContextual"/>
        </w:rPr>
      </w:pPr>
      <w:hyperlink w:anchor="_Toc238036143" w:history="1">
        <w:r w:rsidRPr="009E5356">
          <w:rPr>
            <w:rStyle w:val="Hyperlink"/>
            <w:rFonts w:eastAsia="Times New Roman" w:cstheme="minorHAnsi"/>
            <w:bCs/>
            <w:kern w:val="36"/>
            <w:lang w:val="en-AU" w:eastAsia="en-AU"/>
          </w:rPr>
          <w:t>EXAMPLE DATASET STRUCTURE AND CODING SCHEMES</w:t>
        </w:r>
        <w:r>
          <w:rPr>
            <w:webHidden/>
          </w:rPr>
          <w:tab/>
        </w:r>
        <w:r>
          <w:rPr>
            <w:webHidden/>
          </w:rPr>
          <w:fldChar w:fldCharType="begin"/>
        </w:r>
        <w:r>
          <w:rPr>
            <w:webHidden/>
          </w:rPr>
          <w:instrText xml:space="preserve"> PAGEREF _Toc238036143 \h </w:instrText>
        </w:r>
        <w:r>
          <w:rPr>
            <w:webHidden/>
          </w:rPr>
        </w:r>
        <w:r>
          <w:rPr>
            <w:webHidden/>
          </w:rPr>
          <w:fldChar w:fldCharType="separate"/>
        </w:r>
        <w:r>
          <w:rPr>
            <w:webHidden/>
          </w:rPr>
          <w:t>25</w:t>
        </w:r>
        <w:r>
          <w:rPr>
            <w:webHidden/>
          </w:rPr>
          <w:fldChar w:fldCharType="end"/>
        </w:r>
      </w:hyperlink>
    </w:p>
    <w:p w14:paraId="4C1ACA36" w14:textId="61DCB124" w:rsidR="00B6059E" w:rsidRDefault="00B6059E">
      <w:pPr>
        <w:pStyle w:val="TOC1"/>
        <w:rPr>
          <w:rFonts w:eastAsiaTheme="minorEastAsia"/>
          <w:b w:val="0"/>
          <w:caps w:val="0"/>
          <w:color w:val="auto"/>
          <w:kern w:val="2"/>
          <w:sz w:val="24"/>
          <w:szCs w:val="24"/>
          <w:lang w:val="en-AU" w:eastAsia="en-AU"/>
          <w14:ligatures w14:val="standardContextual"/>
        </w:rPr>
      </w:pPr>
      <w:hyperlink w:anchor="_Toc238036144" w:history="1">
        <w:r w:rsidRPr="009E5356">
          <w:rPr>
            <w:rStyle w:val="Hyperlink"/>
            <w:rFonts w:eastAsia="Times New Roman" w:cstheme="minorHAnsi"/>
            <w:bCs/>
            <w:kern w:val="36"/>
            <w:lang w:val="en-AU" w:eastAsia="en-AU"/>
          </w:rPr>
          <w:t>ANNEX B — WORKED EXAMPLE</w:t>
        </w:r>
        <w:r>
          <w:rPr>
            <w:webHidden/>
          </w:rPr>
          <w:tab/>
        </w:r>
        <w:r>
          <w:rPr>
            <w:webHidden/>
          </w:rPr>
          <w:fldChar w:fldCharType="begin"/>
        </w:r>
        <w:r>
          <w:rPr>
            <w:webHidden/>
          </w:rPr>
          <w:instrText xml:space="preserve"> PAGEREF _Toc238036144 \h </w:instrText>
        </w:r>
        <w:r>
          <w:rPr>
            <w:webHidden/>
          </w:rPr>
        </w:r>
        <w:r>
          <w:rPr>
            <w:webHidden/>
          </w:rPr>
          <w:fldChar w:fldCharType="separate"/>
        </w:r>
        <w:r>
          <w:rPr>
            <w:webHidden/>
          </w:rPr>
          <w:t>27</w:t>
        </w:r>
        <w:r>
          <w:rPr>
            <w:webHidden/>
          </w:rPr>
          <w:fldChar w:fldCharType="end"/>
        </w:r>
      </w:hyperlink>
    </w:p>
    <w:p w14:paraId="3ACC4CF0" w14:textId="7D4E41A1" w:rsidR="00B6059E" w:rsidRDefault="00B6059E">
      <w:pPr>
        <w:pStyle w:val="TOC1"/>
        <w:rPr>
          <w:rFonts w:eastAsiaTheme="minorEastAsia"/>
          <w:b w:val="0"/>
          <w:caps w:val="0"/>
          <w:color w:val="auto"/>
          <w:kern w:val="2"/>
          <w:sz w:val="24"/>
          <w:szCs w:val="24"/>
          <w:lang w:val="en-AU" w:eastAsia="en-AU"/>
          <w14:ligatures w14:val="standardContextual"/>
        </w:rPr>
      </w:pPr>
      <w:hyperlink w:anchor="_Toc238036145" w:history="1">
        <w:r w:rsidRPr="009E5356">
          <w:rPr>
            <w:rStyle w:val="Hyperlink"/>
            <w:rFonts w:eastAsia="Times New Roman" w:cstheme="minorHAnsi"/>
            <w:bCs/>
            <w:kern w:val="36"/>
            <w:lang w:val="en-AU" w:eastAsia="en-AU"/>
          </w:rPr>
          <w:t>ANNEX C — DEFINITIONS AND TERMINOLOGY</w:t>
        </w:r>
        <w:r>
          <w:rPr>
            <w:webHidden/>
          </w:rPr>
          <w:tab/>
        </w:r>
        <w:r>
          <w:rPr>
            <w:webHidden/>
          </w:rPr>
          <w:fldChar w:fldCharType="begin"/>
        </w:r>
        <w:r>
          <w:rPr>
            <w:webHidden/>
          </w:rPr>
          <w:instrText xml:space="preserve"> PAGEREF _Toc238036145 \h </w:instrText>
        </w:r>
        <w:r>
          <w:rPr>
            <w:webHidden/>
          </w:rPr>
        </w:r>
        <w:r>
          <w:rPr>
            <w:webHidden/>
          </w:rPr>
          <w:fldChar w:fldCharType="separate"/>
        </w:r>
        <w:r>
          <w:rPr>
            <w:webHidden/>
          </w:rPr>
          <w:t>28</w:t>
        </w:r>
        <w:r>
          <w:rPr>
            <w:webHidden/>
          </w:rPr>
          <w:fldChar w:fldCharType="end"/>
        </w:r>
      </w:hyperlink>
    </w:p>
    <w:p w14:paraId="4AB06C6D" w14:textId="224D9B90" w:rsidR="00B6059E" w:rsidRDefault="00B6059E">
      <w:pPr>
        <w:pStyle w:val="TOC1"/>
        <w:rPr>
          <w:rFonts w:eastAsiaTheme="minorEastAsia"/>
          <w:b w:val="0"/>
          <w:caps w:val="0"/>
          <w:color w:val="auto"/>
          <w:kern w:val="2"/>
          <w:sz w:val="24"/>
          <w:szCs w:val="24"/>
          <w:lang w:val="en-AU" w:eastAsia="en-AU"/>
          <w14:ligatures w14:val="standardContextual"/>
        </w:rPr>
      </w:pPr>
      <w:hyperlink w:anchor="_Toc238036146" w:history="1">
        <w:r w:rsidRPr="009E5356">
          <w:rPr>
            <w:rStyle w:val="Hyperlink"/>
            <w:rFonts w:eastAsia="Times New Roman" w:cstheme="minorHAnsi"/>
            <w:bCs/>
            <w:kern w:val="36"/>
            <w:lang w:val="en-AU" w:eastAsia="en-AU"/>
          </w:rPr>
          <w:t>ANNEX D — TEMPLATE FOR REPORTING VTS CONTRIBUTION</w:t>
        </w:r>
        <w:r>
          <w:rPr>
            <w:webHidden/>
          </w:rPr>
          <w:tab/>
        </w:r>
        <w:r>
          <w:rPr>
            <w:webHidden/>
          </w:rPr>
          <w:fldChar w:fldCharType="begin"/>
        </w:r>
        <w:r>
          <w:rPr>
            <w:webHidden/>
          </w:rPr>
          <w:instrText xml:space="preserve"> PAGEREF _Toc238036146 \h </w:instrText>
        </w:r>
        <w:r>
          <w:rPr>
            <w:webHidden/>
          </w:rPr>
        </w:r>
        <w:r>
          <w:rPr>
            <w:webHidden/>
          </w:rPr>
          <w:fldChar w:fldCharType="separate"/>
        </w:r>
        <w:r>
          <w:rPr>
            <w:webHidden/>
          </w:rPr>
          <w:t>29</w:t>
        </w:r>
        <w:r>
          <w:rPr>
            <w:webHidden/>
          </w:rPr>
          <w:fldChar w:fldCharType="end"/>
        </w:r>
      </w:hyperlink>
    </w:p>
    <w:p w14:paraId="6D3C783F" w14:textId="70BC848E" w:rsidR="00B6059E" w:rsidRDefault="00B6059E">
      <w:pPr>
        <w:pStyle w:val="TOC2"/>
        <w:rPr>
          <w:rFonts w:eastAsiaTheme="minorEastAsia"/>
          <w:color w:val="auto"/>
          <w:kern w:val="2"/>
          <w:sz w:val="24"/>
          <w:szCs w:val="24"/>
          <w:lang w:val="en-AU" w:eastAsia="en-AU"/>
          <w14:ligatures w14:val="standardContextual"/>
        </w:rPr>
      </w:pPr>
      <w:hyperlink w:anchor="_Toc238036147" w:history="1">
        <w:r w:rsidRPr="009E5356">
          <w:rPr>
            <w:rStyle w:val="Hyperlink"/>
            <w:b/>
            <w:bCs/>
          </w:rPr>
          <w:t>ANNEX E — TEMPLATE FOR INTERNAL VTS OPERATIONAL REVIEW</w:t>
        </w:r>
        <w:r>
          <w:rPr>
            <w:webHidden/>
          </w:rPr>
          <w:tab/>
        </w:r>
        <w:r>
          <w:rPr>
            <w:webHidden/>
          </w:rPr>
          <w:fldChar w:fldCharType="begin"/>
        </w:r>
        <w:r>
          <w:rPr>
            <w:webHidden/>
          </w:rPr>
          <w:instrText xml:space="preserve"> PAGEREF _Toc238036147 \h </w:instrText>
        </w:r>
        <w:r>
          <w:rPr>
            <w:webHidden/>
          </w:rPr>
        </w:r>
        <w:r>
          <w:rPr>
            <w:webHidden/>
          </w:rPr>
          <w:fldChar w:fldCharType="separate"/>
        </w:r>
        <w:r>
          <w:rPr>
            <w:webHidden/>
          </w:rPr>
          <w:t>31</w:t>
        </w:r>
        <w:r>
          <w:rPr>
            <w:webHidden/>
          </w:rPr>
          <w:fldChar w:fldCharType="end"/>
        </w:r>
      </w:hyperlink>
    </w:p>
    <w:p w14:paraId="43DE033F" w14:textId="38EE7995" w:rsidR="00B6059E" w:rsidRDefault="00B6059E">
      <w:pPr>
        <w:pStyle w:val="TOC2"/>
        <w:rPr>
          <w:rFonts w:eastAsiaTheme="minorEastAsia"/>
          <w:color w:val="auto"/>
          <w:kern w:val="2"/>
          <w:sz w:val="24"/>
          <w:szCs w:val="24"/>
          <w:lang w:val="en-AU" w:eastAsia="en-AU"/>
          <w14:ligatures w14:val="standardContextual"/>
        </w:rPr>
      </w:pPr>
      <w:hyperlink w:anchor="_Toc238036148" w:history="1">
        <w:r w:rsidRPr="009E5356">
          <w:rPr>
            <w:rStyle w:val="Hyperlink"/>
            <w:b/>
            <w:bCs/>
          </w:rPr>
          <w:t>ANNEX F — EXAMPLE GRAPHS</w:t>
        </w:r>
        <w:r>
          <w:rPr>
            <w:webHidden/>
          </w:rPr>
          <w:tab/>
        </w:r>
        <w:r>
          <w:rPr>
            <w:webHidden/>
          </w:rPr>
          <w:fldChar w:fldCharType="begin"/>
        </w:r>
        <w:r>
          <w:rPr>
            <w:webHidden/>
          </w:rPr>
          <w:instrText xml:space="preserve"> PAGEREF _Toc238036148 \h </w:instrText>
        </w:r>
        <w:r>
          <w:rPr>
            <w:webHidden/>
          </w:rPr>
        </w:r>
        <w:r>
          <w:rPr>
            <w:webHidden/>
          </w:rPr>
          <w:fldChar w:fldCharType="separate"/>
        </w:r>
        <w:r>
          <w:rPr>
            <w:webHidden/>
          </w:rPr>
          <w:t>32</w:t>
        </w:r>
        <w:r>
          <w:rPr>
            <w:webHidden/>
          </w:rPr>
          <w:fldChar w:fldCharType="end"/>
        </w:r>
      </w:hyperlink>
    </w:p>
    <w:p w14:paraId="0BF0A0F3" w14:textId="372F5331" w:rsidR="00884712" w:rsidRPr="006B448F" w:rsidRDefault="00884712" w:rsidP="00884712">
      <w:pPr>
        <w:sectPr w:rsidR="00884712" w:rsidRPr="006B448F" w:rsidSect="008D5558">
          <w:headerReference w:type="even" r:id="rId21"/>
          <w:headerReference w:type="default" r:id="rId22"/>
          <w:headerReference w:type="first" r:id="rId23"/>
          <w:footerReference w:type="first" r:id="rId24"/>
          <w:pgSz w:w="11906" w:h="16838" w:code="9"/>
          <w:pgMar w:top="454" w:right="720" w:bottom="567" w:left="720" w:header="851" w:footer="782" w:gutter="0"/>
          <w:cols w:space="708"/>
          <w:docGrid w:linePitch="360"/>
        </w:sectPr>
      </w:pPr>
      <w:r>
        <w:fldChar w:fldCharType="end"/>
      </w:r>
    </w:p>
    <w:p w14:paraId="295B355D" w14:textId="77777777" w:rsidR="00884712" w:rsidRDefault="00884712" w:rsidP="00884712">
      <w:pPr>
        <w:pStyle w:val="Heading1"/>
      </w:pPr>
      <w:bookmarkStart w:id="0" w:name="_Toc235197761"/>
      <w:bookmarkStart w:id="1" w:name="_Toc238036106"/>
      <w:r>
        <w:lastRenderedPageBreak/>
        <w:t>introduction</w:t>
      </w:r>
      <w:bookmarkEnd w:id="0"/>
      <w:bookmarkEnd w:id="1"/>
    </w:p>
    <w:p w14:paraId="2B1B0C44" w14:textId="77777777" w:rsidR="00884712" w:rsidRDefault="00884712" w:rsidP="00884712">
      <w:pPr>
        <w:pStyle w:val="Heading1separationline"/>
      </w:pPr>
    </w:p>
    <w:p w14:paraId="47B24EFA" w14:textId="42F395A8" w:rsidR="00884712" w:rsidRPr="00D4175A" w:rsidRDefault="00884712" w:rsidP="00884712">
      <w:pPr>
        <w:spacing w:before="120" w:after="120" w:line="240" w:lineRule="auto"/>
        <w:rPr>
          <w:rFonts w:ascii="Calibri" w:eastAsia="Times New Roman" w:hAnsi="Calibri" w:cs="Calibri"/>
          <w:sz w:val="22"/>
          <w:lang w:eastAsia="en-AU"/>
        </w:rPr>
      </w:pPr>
      <w:r w:rsidRPr="00D4175A">
        <w:rPr>
          <w:rFonts w:ascii="Calibri" w:eastAsia="Times New Roman" w:hAnsi="Calibri" w:cs="Calibri"/>
          <w:sz w:val="22"/>
          <w:lang w:eastAsia="en-AU"/>
        </w:rPr>
        <w:t xml:space="preserve">Vessel Traffic Services (VTS) </w:t>
      </w:r>
      <w:r w:rsidR="00175F16">
        <w:rPr>
          <w:rFonts w:ascii="Calibri" w:eastAsia="Times New Roman" w:hAnsi="Calibri" w:cs="Calibri"/>
          <w:sz w:val="22"/>
          <w:lang w:eastAsia="en-AU"/>
        </w:rPr>
        <w:t>are</w:t>
      </w:r>
      <w:r w:rsidR="00175F16" w:rsidRPr="00D4175A">
        <w:rPr>
          <w:rFonts w:ascii="Calibri" w:eastAsia="Times New Roman" w:hAnsi="Calibri" w:cs="Calibri"/>
          <w:sz w:val="22"/>
          <w:lang w:eastAsia="en-AU"/>
        </w:rPr>
        <w:t xml:space="preserve"> </w:t>
      </w:r>
      <w:r w:rsidRPr="00D4175A">
        <w:rPr>
          <w:rFonts w:ascii="Calibri" w:eastAsia="Times New Roman" w:hAnsi="Calibri" w:cs="Calibri"/>
          <w:sz w:val="22"/>
          <w:lang w:eastAsia="en-AU"/>
        </w:rPr>
        <w:t xml:space="preserve">a significant investment </w:t>
      </w:r>
      <w:r>
        <w:rPr>
          <w:rFonts w:ascii="Calibri" w:eastAsia="Times New Roman" w:hAnsi="Calibri" w:cs="Calibri"/>
          <w:sz w:val="22"/>
          <w:lang w:eastAsia="en-AU"/>
        </w:rPr>
        <w:t>to enhance navigational safety and protection of the environment</w:t>
      </w:r>
      <w:r w:rsidRPr="00F23481">
        <w:rPr>
          <w:rStyle w:val="FootnoteReference"/>
          <w:rFonts w:eastAsia="Times New Roman" w:cs="Calibri"/>
          <w:b/>
          <w:bCs/>
          <w:lang w:eastAsia="en-AU"/>
        </w:rPr>
        <w:footnoteReference w:id="2"/>
      </w:r>
      <w:r w:rsidRPr="00F23481">
        <w:rPr>
          <w:rFonts w:ascii="Calibri" w:eastAsia="Times New Roman" w:hAnsi="Calibri" w:cs="Calibri"/>
          <w:sz w:val="22"/>
          <w:lang w:eastAsia="en-AU"/>
        </w:rPr>
        <w:t xml:space="preserve">. </w:t>
      </w:r>
    </w:p>
    <w:p w14:paraId="1E8CACD8" w14:textId="77777777" w:rsidR="00884712" w:rsidRPr="00D4175A" w:rsidRDefault="00884712" w:rsidP="00884712">
      <w:pPr>
        <w:spacing w:before="120" w:after="120" w:line="240" w:lineRule="auto"/>
        <w:rPr>
          <w:rFonts w:ascii="Calibri" w:eastAsia="Times New Roman" w:hAnsi="Calibri" w:cs="Calibri"/>
          <w:sz w:val="22"/>
          <w:lang w:eastAsia="en-AU"/>
        </w:rPr>
      </w:pPr>
      <w:r w:rsidRPr="00D4175A">
        <w:rPr>
          <w:rFonts w:ascii="Calibri" w:eastAsia="Times New Roman" w:hAnsi="Calibri" w:cs="Calibri"/>
          <w:sz w:val="22"/>
          <w:lang w:eastAsia="en-AU"/>
        </w:rPr>
        <w:t>Demonstrating their contribution has historically been challenging because:</w:t>
      </w:r>
    </w:p>
    <w:p w14:paraId="15CF985D" w14:textId="77777777" w:rsidR="00884712" w:rsidRPr="00E41B55" w:rsidRDefault="00884712" w:rsidP="00DA78AB">
      <w:pPr>
        <w:pStyle w:val="ListParagraph"/>
        <w:numPr>
          <w:ilvl w:val="0"/>
          <w:numId w:val="38"/>
        </w:numPr>
        <w:spacing w:before="120" w:after="120" w:line="240" w:lineRule="auto"/>
        <w:ind w:left="765" w:hanging="357"/>
        <w:contextualSpacing w:val="0"/>
        <w:rPr>
          <w:rFonts w:ascii="Calibri" w:eastAsia="Times New Roman" w:hAnsi="Calibri" w:cs="Calibri"/>
          <w:lang w:eastAsia="en-AU"/>
        </w:rPr>
      </w:pPr>
      <w:r w:rsidRPr="00E41B55">
        <w:rPr>
          <w:rFonts w:ascii="Calibri" w:eastAsia="Times New Roman" w:hAnsi="Calibri" w:cs="Calibri"/>
          <w:lang w:eastAsia="en-AU"/>
        </w:rPr>
        <w:t>Most VTS interactions prevent developing unsafe situations before they occur</w:t>
      </w:r>
      <w:r>
        <w:rPr>
          <w:rFonts w:ascii="Calibri" w:eastAsia="Times New Roman" w:hAnsi="Calibri" w:cs="Calibri"/>
          <w:lang w:eastAsia="en-AU"/>
        </w:rPr>
        <w:t>.  As a result,</w:t>
      </w:r>
      <w:r w:rsidRPr="00E41B55">
        <w:rPr>
          <w:rFonts w:ascii="Calibri" w:eastAsia="Times New Roman" w:hAnsi="Calibri" w:cs="Calibri"/>
          <w:lang w:eastAsia="en-AU"/>
        </w:rPr>
        <w:t xml:space="preserve"> the impact </w:t>
      </w:r>
      <w:r>
        <w:rPr>
          <w:rFonts w:ascii="Calibri" w:eastAsia="Times New Roman" w:hAnsi="Calibri" w:cs="Calibri"/>
          <w:lang w:eastAsia="en-AU"/>
        </w:rPr>
        <w:t xml:space="preserve">of VTS is often indirect and </w:t>
      </w:r>
      <w:r w:rsidRPr="00E41B55">
        <w:rPr>
          <w:rFonts w:ascii="Calibri" w:eastAsia="Times New Roman" w:hAnsi="Calibri" w:cs="Calibri"/>
          <w:lang w:eastAsia="en-AU"/>
        </w:rPr>
        <w:t xml:space="preserve">difficult to quantify. </w:t>
      </w:r>
    </w:p>
    <w:p w14:paraId="5814DC9C" w14:textId="67B04653" w:rsidR="00884712" w:rsidRPr="00E41B55" w:rsidRDefault="00884712" w:rsidP="00DA78AB">
      <w:pPr>
        <w:pStyle w:val="ListParagraph"/>
        <w:numPr>
          <w:ilvl w:val="0"/>
          <w:numId w:val="38"/>
        </w:numPr>
        <w:spacing w:before="120" w:after="120" w:line="240" w:lineRule="auto"/>
        <w:ind w:left="765" w:hanging="357"/>
        <w:contextualSpacing w:val="0"/>
        <w:rPr>
          <w:rFonts w:ascii="Calibri" w:eastAsia="Times New Roman" w:hAnsi="Calibri" w:cs="Calibri"/>
          <w:lang w:eastAsia="en-AU"/>
        </w:rPr>
      </w:pPr>
      <w:r w:rsidRPr="00E41B55">
        <w:rPr>
          <w:rFonts w:ascii="Calibri" w:eastAsia="Times New Roman" w:hAnsi="Calibri" w:cs="Calibri"/>
          <w:lang w:eastAsia="en-AU"/>
        </w:rPr>
        <w:t>VTS operates within a wider socio</w:t>
      </w:r>
      <w:r w:rsidRPr="00E41B55">
        <w:rPr>
          <w:rFonts w:ascii="Calibri" w:eastAsia="Times New Roman" w:hAnsi="Calibri" w:cs="Calibri"/>
          <w:lang w:eastAsia="en-AU"/>
        </w:rPr>
        <w:noBreakHyphen/>
        <w:t>technical system</w:t>
      </w:r>
      <w:r w:rsidR="00524405">
        <w:rPr>
          <w:rFonts w:ascii="Calibri" w:eastAsia="Times New Roman" w:hAnsi="Calibri" w:cs="Calibri"/>
          <w:lang w:eastAsia="en-AU"/>
        </w:rPr>
        <w:t xml:space="preserve"> </w:t>
      </w:r>
      <w:r w:rsidRPr="00E41B55">
        <w:rPr>
          <w:rFonts w:ascii="Calibri" w:eastAsia="Times New Roman" w:hAnsi="Calibri" w:cs="Calibri"/>
          <w:lang w:eastAsia="en-AU"/>
        </w:rPr>
        <w:t>including pilotage, rout</w:t>
      </w:r>
      <w:r w:rsidR="00C87747">
        <w:rPr>
          <w:rFonts w:ascii="Calibri" w:eastAsia="Times New Roman" w:hAnsi="Calibri" w:cs="Calibri"/>
          <w:lang w:eastAsia="en-AU"/>
        </w:rPr>
        <w:t>e</w:t>
      </w:r>
      <w:r w:rsidRPr="00E41B55">
        <w:rPr>
          <w:rFonts w:ascii="Calibri" w:eastAsia="Times New Roman" w:hAnsi="Calibri" w:cs="Calibri"/>
          <w:lang w:eastAsia="en-AU"/>
        </w:rPr>
        <w:t>ing measures, aids to navigation, decision support tools and regulatory frameworks</w:t>
      </w:r>
      <w:r w:rsidR="00524405">
        <w:rPr>
          <w:rFonts w:ascii="Calibri" w:eastAsia="Times New Roman" w:hAnsi="Calibri" w:cs="Calibri"/>
          <w:lang w:eastAsia="en-AU"/>
        </w:rPr>
        <w:t xml:space="preserve"> which </w:t>
      </w:r>
      <w:r w:rsidRPr="00E41B55">
        <w:rPr>
          <w:rFonts w:ascii="Calibri" w:eastAsia="Times New Roman" w:hAnsi="Calibri" w:cs="Calibri"/>
          <w:lang w:eastAsia="en-AU"/>
        </w:rPr>
        <w:t>mak</w:t>
      </w:r>
      <w:r w:rsidR="00524405">
        <w:rPr>
          <w:rFonts w:ascii="Calibri" w:eastAsia="Times New Roman" w:hAnsi="Calibri" w:cs="Calibri"/>
          <w:lang w:eastAsia="en-AU"/>
        </w:rPr>
        <w:t>es</w:t>
      </w:r>
      <w:r w:rsidRPr="00E41B55">
        <w:rPr>
          <w:rFonts w:ascii="Calibri" w:eastAsia="Times New Roman" w:hAnsi="Calibri" w:cs="Calibri"/>
          <w:lang w:eastAsia="en-AU"/>
        </w:rPr>
        <w:t xml:space="preserve"> it difficult to isolate the direct influence of VTS from other complementary safety measures. </w:t>
      </w:r>
    </w:p>
    <w:p w14:paraId="43CC5A9C" w14:textId="6A38ACB6" w:rsidR="00A63A3E" w:rsidRDefault="00A63A3E" w:rsidP="00884712">
      <w:pPr>
        <w:spacing w:before="120" w:after="120" w:line="240" w:lineRule="auto"/>
        <w:rPr>
          <w:rFonts w:ascii="Calibri" w:eastAsia="Times New Roman" w:hAnsi="Calibri" w:cs="Calibri"/>
          <w:sz w:val="22"/>
          <w:lang w:eastAsia="en-AU"/>
        </w:rPr>
      </w:pPr>
      <w:r w:rsidRPr="00A63A3E">
        <w:rPr>
          <w:rFonts w:ascii="Calibri" w:eastAsia="Times New Roman" w:hAnsi="Calibri" w:cs="Calibri"/>
          <w:sz w:val="22"/>
          <w:lang w:eastAsia="en-AU"/>
        </w:rPr>
        <w:t>Quantifying the role of a VTS in mitigating unsafe situations involves measuring</w:t>
      </w:r>
      <w:r w:rsidR="0033079C">
        <w:rPr>
          <w:rFonts w:ascii="Calibri" w:eastAsia="Times New Roman" w:hAnsi="Calibri" w:cs="Calibri"/>
          <w:sz w:val="22"/>
          <w:lang w:eastAsia="en-AU"/>
        </w:rPr>
        <w:t xml:space="preserve"> incident </w:t>
      </w:r>
      <w:r w:rsidR="00575830">
        <w:rPr>
          <w:rFonts w:ascii="Calibri" w:eastAsia="Times New Roman" w:hAnsi="Calibri" w:cs="Calibri"/>
          <w:sz w:val="22"/>
          <w:lang w:eastAsia="en-AU"/>
        </w:rPr>
        <w:t xml:space="preserve">and </w:t>
      </w:r>
      <w:r w:rsidR="00575830" w:rsidRPr="00A63A3E">
        <w:rPr>
          <w:rFonts w:ascii="Calibri" w:eastAsia="Times New Roman" w:hAnsi="Calibri" w:cs="Calibri"/>
          <w:sz w:val="22"/>
          <w:lang w:eastAsia="en-AU"/>
        </w:rPr>
        <w:t>casualty</w:t>
      </w:r>
      <w:r w:rsidRPr="00A63A3E">
        <w:rPr>
          <w:rFonts w:ascii="Calibri" w:eastAsia="Times New Roman" w:hAnsi="Calibri" w:cs="Calibri"/>
          <w:sz w:val="22"/>
          <w:lang w:eastAsia="en-AU"/>
        </w:rPr>
        <w:t xml:space="preserve"> reduction factors, analyzing causal </w:t>
      </w:r>
      <w:r w:rsidR="00175F16">
        <w:rPr>
          <w:rFonts w:ascii="Calibri" w:eastAsia="Times New Roman" w:hAnsi="Calibri" w:cs="Calibri"/>
          <w:sz w:val="22"/>
          <w:lang w:eastAsia="en-AU"/>
        </w:rPr>
        <w:t>interaction, an</w:t>
      </w:r>
      <w:r w:rsidRPr="00A63A3E">
        <w:rPr>
          <w:rFonts w:ascii="Calibri" w:eastAsia="Times New Roman" w:hAnsi="Calibri" w:cs="Calibri"/>
          <w:sz w:val="22"/>
          <w:lang w:eastAsia="en-AU"/>
        </w:rPr>
        <w:t>d tracking near-miss escalations</w:t>
      </w:r>
      <w:r w:rsidRPr="00175F16">
        <w:rPr>
          <w:rFonts w:ascii="Calibri" w:eastAsia="Times New Roman" w:hAnsi="Calibri" w:cs="Calibri"/>
          <w:sz w:val="22"/>
          <w:lang w:eastAsia="en-AU"/>
        </w:rPr>
        <w:t xml:space="preserve">. </w:t>
      </w:r>
    </w:p>
    <w:p w14:paraId="336028AF" w14:textId="2D7D87B8" w:rsidR="00884712" w:rsidRPr="006749CD" w:rsidRDefault="00884712" w:rsidP="00884712">
      <w:pPr>
        <w:spacing w:before="120" w:after="120" w:line="240" w:lineRule="auto"/>
        <w:rPr>
          <w:rFonts w:ascii="Calibri" w:eastAsia="Times New Roman" w:hAnsi="Calibri" w:cs="Calibri"/>
          <w:sz w:val="22"/>
          <w:lang w:eastAsia="en-AU"/>
        </w:rPr>
      </w:pPr>
      <w:r w:rsidRPr="00C51763">
        <w:rPr>
          <w:rFonts w:ascii="Calibri" w:eastAsia="Times New Roman" w:hAnsi="Calibri" w:cs="Calibri"/>
          <w:sz w:val="22"/>
          <w:lang w:eastAsia="en-AU"/>
        </w:rPr>
        <w:t>This Guideline introduces a practical qualitative methodology to demonstrate how VTS interactions in responding to developing unsafe situations</w:t>
      </w:r>
      <w:r>
        <w:rPr>
          <w:rFonts w:ascii="Calibri" w:eastAsia="Times New Roman" w:hAnsi="Calibri" w:cs="Calibri"/>
          <w:sz w:val="22"/>
          <w:lang w:eastAsia="en-AU"/>
        </w:rPr>
        <w:t>,</w:t>
      </w:r>
      <w:r w:rsidRPr="00C51763">
        <w:rPr>
          <w:rFonts w:ascii="Calibri" w:eastAsia="Times New Roman" w:hAnsi="Calibri" w:cs="Calibri"/>
          <w:sz w:val="22"/>
          <w:lang w:eastAsia="en-AU"/>
        </w:rPr>
        <w:t xml:space="preserve"> through the issue of advice, warnings and instructions</w:t>
      </w:r>
      <w:r>
        <w:rPr>
          <w:rFonts w:ascii="Calibri" w:eastAsia="Times New Roman" w:hAnsi="Calibri" w:cs="Calibri"/>
          <w:sz w:val="22"/>
          <w:lang w:eastAsia="en-AU"/>
        </w:rPr>
        <w:t xml:space="preserve"> </w:t>
      </w:r>
      <w:r w:rsidRPr="00C51763">
        <w:rPr>
          <w:rFonts w:ascii="Calibri" w:eastAsia="Times New Roman" w:hAnsi="Calibri" w:cs="Calibri"/>
          <w:sz w:val="22"/>
          <w:lang w:eastAsia="en-AU"/>
        </w:rPr>
        <w:t>improves the safety of navigation and protection of the environment</w:t>
      </w:r>
      <w:r w:rsidRPr="00C51763">
        <w:rPr>
          <w:rStyle w:val="FootnoteReference"/>
          <w:rFonts w:eastAsia="Times New Roman" w:cs="Calibri"/>
          <w:lang w:eastAsia="en-AU"/>
        </w:rPr>
        <w:footnoteReference w:id="3"/>
      </w:r>
      <w:r w:rsidRPr="00C51763">
        <w:rPr>
          <w:rFonts w:ascii="Calibri" w:eastAsia="Times New Roman" w:hAnsi="Calibri" w:cs="Calibri"/>
          <w:sz w:val="22"/>
          <w:lang w:eastAsia="en-AU"/>
        </w:rPr>
        <w:t>.</w:t>
      </w:r>
      <w:r w:rsidRPr="006749CD">
        <w:rPr>
          <w:rFonts w:ascii="Calibri" w:eastAsia="Times New Roman" w:hAnsi="Calibri" w:cs="Calibri"/>
          <w:sz w:val="22"/>
          <w:lang w:eastAsia="en-AU"/>
        </w:rPr>
        <w:t xml:space="preserve"> </w:t>
      </w:r>
    </w:p>
    <w:p w14:paraId="0B059D84" w14:textId="77777777" w:rsidR="00884712" w:rsidRDefault="00884712" w:rsidP="00884712">
      <w:pPr>
        <w:spacing w:before="120" w:after="120" w:line="240" w:lineRule="auto"/>
        <w:rPr>
          <w:rFonts w:ascii="Calibri" w:eastAsia="Times New Roman" w:hAnsi="Calibri" w:cs="Calibri"/>
          <w:sz w:val="22"/>
          <w:lang w:eastAsia="en-AU"/>
        </w:rPr>
      </w:pPr>
      <w:r w:rsidRPr="009E5005">
        <w:rPr>
          <w:rFonts w:ascii="Calibri" w:eastAsia="Times New Roman" w:hAnsi="Calibri" w:cs="Calibri"/>
          <w:sz w:val="22"/>
          <w:lang w:eastAsia="en-AU"/>
        </w:rPr>
        <w:t>The methodology uses a structured time</w:t>
      </w:r>
      <w:r w:rsidRPr="009E5005">
        <w:rPr>
          <w:rFonts w:ascii="Calibri" w:eastAsia="Times New Roman" w:hAnsi="Calibri" w:cs="Calibri"/>
          <w:sz w:val="22"/>
          <w:lang w:eastAsia="en-AU"/>
        </w:rPr>
        <w:noBreakHyphen/>
        <w:t xml:space="preserve">series dataset to illustrate VTS contribution over time and to contextualise VTS actions alongside the introduction or evolution of other safety and environmental measures. It is simple, scalable and applicable across all VTS environments, relying </w:t>
      </w:r>
      <w:r>
        <w:rPr>
          <w:rFonts w:ascii="Calibri" w:eastAsia="Times New Roman" w:hAnsi="Calibri" w:cs="Calibri"/>
          <w:sz w:val="22"/>
          <w:lang w:eastAsia="en-AU"/>
        </w:rPr>
        <w:t xml:space="preserve">largely </w:t>
      </w:r>
      <w:r w:rsidRPr="009E5005">
        <w:rPr>
          <w:rFonts w:ascii="Calibri" w:eastAsia="Times New Roman" w:hAnsi="Calibri" w:cs="Calibri"/>
          <w:sz w:val="22"/>
          <w:lang w:eastAsia="en-AU"/>
        </w:rPr>
        <w:t>on information already recorded as part of routine VTS operations.</w:t>
      </w:r>
    </w:p>
    <w:p w14:paraId="71787F8E" w14:textId="5F4ACF11" w:rsidR="00884712" w:rsidRPr="009E5005" w:rsidRDefault="00884712" w:rsidP="00884712">
      <w:pPr>
        <w:spacing w:before="120" w:after="120" w:line="240" w:lineRule="auto"/>
        <w:rPr>
          <w:rFonts w:ascii="Calibri" w:eastAsia="Times New Roman" w:hAnsi="Calibri" w:cs="Calibri"/>
          <w:sz w:val="22"/>
          <w:lang w:val="en-AU" w:eastAsia="en-AU"/>
        </w:rPr>
      </w:pPr>
      <w:r w:rsidRPr="0074645E">
        <w:rPr>
          <w:rFonts w:ascii="Calibri" w:eastAsia="Times New Roman" w:hAnsi="Calibri" w:cs="Calibri"/>
          <w:sz w:val="22"/>
          <w:lang w:eastAsia="en-AU"/>
        </w:rPr>
        <w:t xml:space="preserve">For </w:t>
      </w:r>
      <w:r>
        <w:rPr>
          <w:rFonts w:ascii="Calibri" w:eastAsia="Times New Roman" w:hAnsi="Calibri" w:cs="Calibri"/>
          <w:sz w:val="22"/>
          <w:lang w:eastAsia="en-AU"/>
        </w:rPr>
        <w:t xml:space="preserve">a </w:t>
      </w:r>
      <w:r w:rsidRPr="0074645E">
        <w:rPr>
          <w:rFonts w:ascii="Calibri" w:eastAsia="Times New Roman" w:hAnsi="Calibri" w:cs="Calibri"/>
          <w:sz w:val="22"/>
          <w:lang w:eastAsia="en-AU"/>
        </w:rPr>
        <w:t xml:space="preserve">VTS conforming with IALA Guideline </w:t>
      </w:r>
      <w:r w:rsidRPr="0074645E">
        <w:rPr>
          <w:rFonts w:ascii="Calibri" w:eastAsia="Times New Roman" w:hAnsi="Calibri" w:cs="Calibri"/>
          <w:i/>
          <w:iCs/>
          <w:sz w:val="22"/>
          <w:lang w:eastAsia="en-AU"/>
        </w:rPr>
        <w:t xml:space="preserve">G1118 - Marine Casualty / Incident Reporting and Recording, </w:t>
      </w:r>
      <w:r w:rsidR="00C8380E">
        <w:rPr>
          <w:rFonts w:ascii="Calibri" w:eastAsia="Times New Roman" w:hAnsi="Calibri" w:cs="Calibri"/>
          <w:i/>
          <w:iCs/>
          <w:sz w:val="22"/>
          <w:lang w:eastAsia="en-AU"/>
        </w:rPr>
        <w:t>i</w:t>
      </w:r>
      <w:r w:rsidRPr="0074645E">
        <w:rPr>
          <w:rFonts w:ascii="Calibri" w:eastAsia="Times New Roman" w:hAnsi="Calibri" w:cs="Calibri"/>
          <w:i/>
          <w:iCs/>
          <w:sz w:val="22"/>
          <w:lang w:eastAsia="en-AU"/>
        </w:rPr>
        <w:t>ncluding Near-miss Situations</w:t>
      </w:r>
      <w:r>
        <w:rPr>
          <w:rFonts w:ascii="Calibri" w:eastAsia="Times New Roman" w:hAnsi="Calibri" w:cs="Calibri"/>
          <w:i/>
          <w:iCs/>
          <w:sz w:val="22"/>
          <w:lang w:eastAsia="en-AU"/>
        </w:rPr>
        <w:t>,</w:t>
      </w:r>
      <w:r w:rsidRPr="0074645E">
        <w:rPr>
          <w:rFonts w:ascii="Calibri" w:eastAsia="Times New Roman" w:hAnsi="Calibri" w:cs="Calibri"/>
          <w:sz w:val="22"/>
          <w:lang w:eastAsia="en-AU"/>
        </w:rPr>
        <w:t xml:space="preserve"> only minor changes should be required to </w:t>
      </w:r>
      <w:r>
        <w:rPr>
          <w:rFonts w:ascii="Calibri" w:eastAsia="Times New Roman" w:hAnsi="Calibri" w:cs="Calibri"/>
          <w:sz w:val="22"/>
          <w:lang w:eastAsia="en-AU"/>
        </w:rPr>
        <w:t>their processes and procedures for recording situations to embrace the methodology.</w:t>
      </w:r>
    </w:p>
    <w:p w14:paraId="36C26A0A" w14:textId="77777777" w:rsidR="00884712" w:rsidRDefault="00884712" w:rsidP="00884712">
      <w:pPr>
        <w:pStyle w:val="Heading1"/>
      </w:pPr>
      <w:bookmarkStart w:id="2" w:name="_Toc235197762"/>
      <w:bookmarkStart w:id="3" w:name="_Toc238036107"/>
      <w:r w:rsidRPr="00FB4E75">
        <w:t>objective</w:t>
      </w:r>
      <w:bookmarkEnd w:id="2"/>
      <w:bookmarkEnd w:id="3"/>
      <w:r w:rsidRPr="00FB4E75">
        <w:t xml:space="preserve"> </w:t>
      </w:r>
    </w:p>
    <w:p w14:paraId="5B6ADA6C" w14:textId="77777777" w:rsidR="00884712" w:rsidRPr="00055838" w:rsidRDefault="00884712" w:rsidP="00884712">
      <w:pPr>
        <w:pStyle w:val="Heading1separationline"/>
      </w:pPr>
    </w:p>
    <w:p w14:paraId="2D4A4471" w14:textId="74CAD795" w:rsidR="00884712" w:rsidRDefault="00884712" w:rsidP="00884712">
      <w:pPr>
        <w:pStyle w:val="BodyText"/>
        <w:spacing w:before="120" w:line="240" w:lineRule="auto"/>
      </w:pPr>
      <w:r w:rsidRPr="00B25929">
        <w:t>This Guideline provides a qualitative framework for VTS providers to demonstrate how VTS interaction</w:t>
      </w:r>
      <w:r>
        <w:t>s</w:t>
      </w:r>
      <w:r w:rsidRPr="00B25929">
        <w:t xml:space="preserve"> </w:t>
      </w:r>
      <w:r w:rsidRPr="00732C42">
        <w:t>in responding to developing unsafe situations through the issue of advice, warnings and instructions</w:t>
      </w:r>
      <w:r>
        <w:t>,</w:t>
      </w:r>
      <w:r w:rsidRPr="00732C42">
        <w:t xml:space="preserve"> improves the safety of navigation and protection of the environment</w:t>
      </w:r>
      <w:r w:rsidRPr="00B25929">
        <w:t>.</w:t>
      </w:r>
      <w:r>
        <w:t xml:space="preserve">  Specifically, it</w:t>
      </w:r>
      <w:r w:rsidRPr="00413243">
        <w:t xml:space="preserve"> </w:t>
      </w:r>
      <w:r>
        <w:t>focuses on:</w:t>
      </w:r>
    </w:p>
    <w:p w14:paraId="15306969" w14:textId="77777777" w:rsidR="00884712" w:rsidRPr="00CD1621" w:rsidRDefault="00884712" w:rsidP="00884712">
      <w:pPr>
        <w:pStyle w:val="BodyText"/>
        <w:numPr>
          <w:ilvl w:val="0"/>
          <w:numId w:val="22"/>
        </w:numPr>
        <w:spacing w:before="120" w:line="240" w:lineRule="auto"/>
      </w:pPr>
      <w:r w:rsidRPr="00CD1621">
        <w:t>How VTS interaction with participating ships contributes to:</w:t>
      </w:r>
    </w:p>
    <w:p w14:paraId="7D48AA1F" w14:textId="77777777" w:rsidR="00884712" w:rsidRPr="00CD1621" w:rsidRDefault="00884712" w:rsidP="00884712">
      <w:pPr>
        <w:pStyle w:val="BodyText"/>
        <w:numPr>
          <w:ilvl w:val="0"/>
          <w:numId w:val="23"/>
        </w:numPr>
        <w:spacing w:before="120" w:line="240" w:lineRule="auto"/>
      </w:pPr>
      <w:r w:rsidRPr="009F69FF">
        <w:rPr>
          <w:b/>
          <w:bCs/>
        </w:rPr>
        <w:t>Safety of navigation</w:t>
      </w:r>
      <w:r w:rsidRPr="00CD1621">
        <w:t xml:space="preserve"> – </w:t>
      </w:r>
      <w:r w:rsidRPr="009F69FF">
        <w:t>for example, mitigating developing unsafe situations and reducing the likelihood of marine casualties, incidents and near</w:t>
      </w:r>
      <w:r w:rsidRPr="009F69FF">
        <w:rPr>
          <w:rFonts w:ascii="Cambria Math" w:hAnsi="Cambria Math" w:cs="Cambria Math"/>
        </w:rPr>
        <w:t>‑</w:t>
      </w:r>
      <w:r w:rsidRPr="009F69FF">
        <w:t>misses</w:t>
      </w:r>
      <w:r w:rsidRPr="00CD1621">
        <w:t xml:space="preserve">. </w:t>
      </w:r>
    </w:p>
    <w:p w14:paraId="67B36451" w14:textId="77777777" w:rsidR="00884712" w:rsidRDefault="00884712" w:rsidP="00884712">
      <w:pPr>
        <w:pStyle w:val="BodyText"/>
        <w:numPr>
          <w:ilvl w:val="0"/>
          <w:numId w:val="23"/>
        </w:numPr>
        <w:spacing w:before="120" w:line="240" w:lineRule="auto"/>
      </w:pPr>
      <w:r w:rsidRPr="0095446B">
        <w:rPr>
          <w:b/>
          <w:bCs/>
        </w:rPr>
        <w:t>Protection of the environment</w:t>
      </w:r>
      <w:r w:rsidRPr="00CD1621">
        <w:t xml:space="preserve"> – </w:t>
      </w:r>
      <w:r w:rsidRPr="0095446B">
        <w:t xml:space="preserve">for example, reducing the risk of groundings, collisions and pollution events. </w:t>
      </w:r>
    </w:p>
    <w:p w14:paraId="681C5768" w14:textId="38A7BBE6" w:rsidR="00884712" w:rsidRDefault="00884712" w:rsidP="00884712">
      <w:pPr>
        <w:pStyle w:val="BodyText"/>
        <w:numPr>
          <w:ilvl w:val="0"/>
          <w:numId w:val="22"/>
        </w:numPr>
        <w:spacing w:before="120" w:line="240" w:lineRule="auto"/>
      </w:pPr>
      <w:r w:rsidRPr="00523DD0">
        <w:t>The interrelationship between VTS and associated navigational safety and environmental measures</w:t>
      </w:r>
      <w:r>
        <w:t>, such as</w:t>
      </w:r>
      <w:r w:rsidRPr="00523DD0">
        <w:t xml:space="preserve"> pilotage, decision support tools, rout</w:t>
      </w:r>
      <w:r w:rsidR="004D1185">
        <w:t>e</w:t>
      </w:r>
      <w:r w:rsidRPr="00523DD0">
        <w:t xml:space="preserve">ing measures, aids to navigation and regulatory frameworks. </w:t>
      </w:r>
    </w:p>
    <w:p w14:paraId="56CC1F5C" w14:textId="77777777" w:rsidR="00727FD2" w:rsidRDefault="00884712" w:rsidP="003C6B3F">
      <w:pPr>
        <w:pStyle w:val="BodyText"/>
        <w:spacing w:before="60" w:after="0" w:line="240" w:lineRule="auto"/>
        <w:rPr>
          <w:i/>
          <w:iCs/>
          <w:sz w:val="18"/>
          <w:szCs w:val="18"/>
        </w:rPr>
      </w:pPr>
      <w:r w:rsidRPr="000D2D8A">
        <w:rPr>
          <w:b/>
          <w:bCs/>
          <w:sz w:val="18"/>
          <w:szCs w:val="18"/>
        </w:rPr>
        <w:t>Note –</w:t>
      </w:r>
      <w:r w:rsidRPr="000D2D8A">
        <w:rPr>
          <w:sz w:val="18"/>
          <w:szCs w:val="18"/>
        </w:rPr>
        <w:t xml:space="preserve"> </w:t>
      </w:r>
      <w:r w:rsidRPr="000D2D8A">
        <w:rPr>
          <w:i/>
          <w:iCs/>
          <w:sz w:val="18"/>
          <w:szCs w:val="18"/>
        </w:rPr>
        <w:t xml:space="preserve">It is important to recognise that no matter how effective VTS contribution is, or has been, in mitigating developing unsafe situations, incidents and casualties remain possible due to the inherent risks of human error, environmental conditions and mechanical failure.  </w:t>
      </w:r>
    </w:p>
    <w:p w14:paraId="3D57B130" w14:textId="49CD1AE3" w:rsidR="00D77600" w:rsidRDefault="00884712" w:rsidP="00175F16">
      <w:pPr>
        <w:pStyle w:val="BodyText"/>
        <w:spacing w:before="60" w:after="0" w:line="240" w:lineRule="auto"/>
        <w:rPr>
          <w:lang w:val="en-AU" w:eastAsia="en-AU"/>
        </w:rPr>
      </w:pPr>
      <w:r w:rsidRPr="000D2D8A">
        <w:rPr>
          <w:i/>
          <w:iCs/>
          <w:sz w:val="18"/>
          <w:szCs w:val="18"/>
        </w:rPr>
        <w:t xml:space="preserve">However, </w:t>
      </w:r>
      <w:r w:rsidR="00727FD2">
        <w:rPr>
          <w:i/>
          <w:iCs/>
          <w:sz w:val="18"/>
          <w:szCs w:val="18"/>
        </w:rPr>
        <w:t>t</w:t>
      </w:r>
      <w:r w:rsidRPr="000D2D8A">
        <w:rPr>
          <w:i/>
          <w:iCs/>
          <w:sz w:val="18"/>
          <w:szCs w:val="18"/>
        </w:rPr>
        <w:t xml:space="preserve">hrough ongoing assessment of mitigation measures and a commitment to continuous improvement, these risks can continue to be effectively managed. </w:t>
      </w:r>
      <w:bookmarkStart w:id="4" w:name="_Toc235197763"/>
      <w:r w:rsidRPr="000D2D8A">
        <w:rPr>
          <w:sz w:val="18"/>
          <w:szCs w:val="18"/>
        </w:rPr>
        <w:br w:type="page"/>
      </w:r>
    </w:p>
    <w:p w14:paraId="4E29FF78" w14:textId="1F58C860" w:rsidR="00884712" w:rsidRPr="0006291F" w:rsidRDefault="00E60939" w:rsidP="00884712">
      <w:pPr>
        <w:pStyle w:val="Heading1"/>
      </w:pPr>
      <w:bookmarkStart w:id="5" w:name="_Toc238036108"/>
      <w:r>
        <w:lastRenderedPageBreak/>
        <w:t>Framework for demonstrating VTS contribution</w:t>
      </w:r>
      <w:bookmarkEnd w:id="4"/>
      <w:bookmarkEnd w:id="5"/>
    </w:p>
    <w:p w14:paraId="3C3A8F49" w14:textId="77777777" w:rsidR="00884712" w:rsidRDefault="00884712" w:rsidP="00884712">
      <w:pPr>
        <w:pStyle w:val="Heading1separationline"/>
      </w:pPr>
    </w:p>
    <w:p w14:paraId="786E15B2" w14:textId="77777777" w:rsidR="00E17888" w:rsidRDefault="00E17888">
      <w:pPr>
        <w:pStyle w:val="BodyText"/>
        <w:rPr>
          <w:kern w:val="2"/>
          <w:lang w:val="en-AU" w:eastAsia="en-AU"/>
          <w14:ligatures w14:val="standardContextual"/>
        </w:rPr>
      </w:pPr>
      <w:r>
        <w:t>VTS plays a central role in supporting safe and efficient vessel movements, but its contribution is best understood within the wider context of associated safety and environmental measures, such as pilotage, routeing measures, aids to navigation, decision-support tools and regulatory frameworks. Within this integrated system, VTS provides an operational safety layer by monitoring vessel traffic, identifying developing unsafe situations and interacting with vessels through advice, warnings and instructions when required.</w:t>
      </w:r>
    </w:p>
    <w:p w14:paraId="7A3685D7" w14:textId="77777777" w:rsidR="00844F4B" w:rsidRDefault="00844F4B" w:rsidP="00844F4B">
      <w:pPr>
        <w:pStyle w:val="BodyText"/>
        <w:rPr>
          <w:kern w:val="2"/>
          <w:lang w:val="en-AU" w:eastAsia="en-AU"/>
          <w14:ligatures w14:val="standardContextual"/>
        </w:rPr>
      </w:pPr>
      <w:r>
        <w:t>Demonstrating VTS contribution is challenging because maritime safety outcomes are influenced by multiple interacting measures and operational conditions. Published studies provide useful insight into the potential safety benefits of VTS, but differences in methodology, assumptions, data availability, waterway characteristics and historical context mean that results are not always directly comparable.</w:t>
      </w:r>
    </w:p>
    <w:p w14:paraId="18B9711C" w14:textId="77777777" w:rsidR="00844F4B" w:rsidRDefault="00844F4B" w:rsidP="00844F4B">
      <w:pPr>
        <w:pStyle w:val="BodyText"/>
        <w:rPr>
          <w:kern w:val="2"/>
          <w:lang w:val="en-AU" w:eastAsia="en-AU"/>
          <w14:ligatures w14:val="standardContextual"/>
        </w:rPr>
      </w:pPr>
      <w:r>
        <w:t>Existing studies and publications often rely on high-level statistical methodologies, which can lead to debate over assumptions, coefficients and interpretation. Therefore, this Guideline focuses on a practical qualitative methodology based on incident reports, VTS interactions and structured time-series data to demonstrate VTS contribution over time.</w:t>
      </w:r>
    </w:p>
    <w:p w14:paraId="47681852" w14:textId="77777777" w:rsidR="00844F4B" w:rsidRDefault="00844F4B" w:rsidP="00844F4B">
      <w:pPr>
        <w:pStyle w:val="BodyText"/>
        <w:rPr>
          <w:kern w:val="2"/>
          <w:lang w:val="en-AU" w:eastAsia="en-AU"/>
          <w14:ligatures w14:val="standardContextual"/>
        </w:rPr>
      </w:pPr>
      <w:r>
        <w:t xml:space="preserve">In this Guideline, the term </w:t>
      </w:r>
      <w:r>
        <w:rPr>
          <w:i/>
          <w:iCs/>
        </w:rPr>
        <w:t>contribution</w:t>
      </w:r>
      <w:r>
        <w:t xml:space="preserve"> refers to the role and support that VTS provides within this integrated system. It describes how VTS assists safe and efficient navigation through its interactions with vessels, provision of information and management of traffic. For example, VTS may support ships that deviate from their planned route by providing guidance informed by the VTS traffic image, situational awareness and decision-support tools such as route monitoring, electronic corridors, and defined risk areas </w:t>
      </w:r>
      <w:r w:rsidRPr="003B2661">
        <w:rPr>
          <w:strike/>
        </w:rPr>
        <w:t>and waypoints</w:t>
      </w:r>
      <w:r>
        <w:t>.</w:t>
      </w:r>
    </w:p>
    <w:p w14:paraId="146600E1" w14:textId="2425951E" w:rsidR="00884712" w:rsidRDefault="00884712" w:rsidP="00884712">
      <w:pPr>
        <w:pStyle w:val="BodyText"/>
        <w:spacing w:before="120"/>
        <w:rPr>
          <w:lang w:val="en-AU"/>
        </w:rPr>
      </w:pPr>
      <w:r w:rsidRPr="00A22803">
        <w:rPr>
          <w:lang w:val="en-AU"/>
        </w:rPr>
        <w:t xml:space="preserve">Published information indicates that VTS interaction may contribute between 15% and 100% to the reduction of collisions and groundings. Examples include more recent studies such as the Great Belt VTS and Reef VTS, as well as earlier work undertaken between the 1970s and early 1990s. Although methodologies vary, the published results consistently demonstrate that VTS can make a significant contribution to navigational safety across a wide range of waterway types and operational contexts. Table 1 </w:t>
      </w:r>
      <w:r>
        <w:rPr>
          <w:lang w:val="en-AU"/>
        </w:rPr>
        <w:t xml:space="preserve">lists some </w:t>
      </w:r>
      <w:r w:rsidR="00554249">
        <w:t xml:space="preserve">examples of these studies </w:t>
      </w:r>
      <w:r>
        <w:rPr>
          <w:lang w:val="en-AU"/>
        </w:rPr>
        <w:t>as a source of reference</w:t>
      </w:r>
      <w:r w:rsidRPr="00A22803">
        <w:rPr>
          <w:lang w:val="en-AU"/>
        </w:rPr>
        <w:t>.</w:t>
      </w:r>
    </w:p>
    <w:p w14:paraId="283C8511" w14:textId="77777777" w:rsidR="00884712" w:rsidRDefault="00884712" w:rsidP="00884712">
      <w:pPr>
        <w:pStyle w:val="BodyText"/>
        <w:spacing w:before="120"/>
        <w:rPr>
          <w:b/>
          <w:bCs/>
          <w:lang w:val="en-AU"/>
        </w:rPr>
      </w:pPr>
      <w:r w:rsidRPr="00BC4DD1">
        <w:rPr>
          <w:b/>
          <w:bCs/>
          <w:lang w:val="en-AU"/>
        </w:rPr>
        <w:t>Table</w:t>
      </w:r>
      <w:r>
        <w:rPr>
          <w:b/>
          <w:bCs/>
          <w:lang w:val="en-AU"/>
        </w:rPr>
        <w:t>1</w:t>
      </w:r>
      <w:r w:rsidRPr="00BC4DD1">
        <w:rPr>
          <w:b/>
          <w:bCs/>
          <w:lang w:val="en-AU"/>
        </w:rPr>
        <w:t xml:space="preserve"> — </w:t>
      </w:r>
      <w:r>
        <w:rPr>
          <w:b/>
          <w:bCs/>
          <w:lang w:val="en-AU"/>
        </w:rPr>
        <w:t>Examples</w:t>
      </w:r>
      <w:r w:rsidRPr="00BC4DD1">
        <w:rPr>
          <w:b/>
          <w:bCs/>
          <w:lang w:val="en-AU"/>
        </w:rPr>
        <w:t xml:space="preserve"> of Published Studies on VTS </w:t>
      </w:r>
      <w:r>
        <w:rPr>
          <w:b/>
          <w:bCs/>
          <w:lang w:val="en-AU"/>
        </w:rPr>
        <w:t>Contribution</w:t>
      </w:r>
    </w:p>
    <w:tbl>
      <w:tblPr>
        <w:tblStyle w:val="TableGrid"/>
        <w:tblW w:w="0" w:type="auto"/>
        <w:tblLook w:val="04A0" w:firstRow="1" w:lastRow="0" w:firstColumn="1" w:lastColumn="0" w:noHBand="0" w:noVBand="1"/>
      </w:tblPr>
      <w:tblGrid>
        <w:gridCol w:w="2689"/>
        <w:gridCol w:w="1842"/>
        <w:gridCol w:w="851"/>
        <w:gridCol w:w="4252"/>
        <w:gridCol w:w="561"/>
      </w:tblGrid>
      <w:tr w:rsidR="00884712" w:rsidRPr="00DA254B" w14:paraId="176025E8" w14:textId="77777777" w:rsidTr="00D32355">
        <w:trPr>
          <w:tblHeader/>
        </w:trPr>
        <w:tc>
          <w:tcPr>
            <w:tcW w:w="2689" w:type="dxa"/>
            <w:shd w:val="clear" w:color="auto" w:fill="00B0F0"/>
            <w:vAlign w:val="top"/>
          </w:tcPr>
          <w:p w14:paraId="34C9A209" w14:textId="77777777" w:rsidR="00884712" w:rsidRPr="00DA254B" w:rsidRDefault="00884712" w:rsidP="0015219F">
            <w:pPr>
              <w:pStyle w:val="BodyText"/>
              <w:spacing w:before="120"/>
              <w:jc w:val="center"/>
              <w:rPr>
                <w:rFonts w:cstheme="minorHAnsi"/>
                <w:b/>
                <w:bCs/>
                <w:color w:val="FFFFFF" w:themeColor="background1"/>
                <w:sz w:val="20"/>
                <w:szCs w:val="20"/>
                <w:lang w:val="en-AU"/>
              </w:rPr>
            </w:pPr>
            <w:r w:rsidRPr="00DA254B">
              <w:rPr>
                <w:rFonts w:cstheme="minorHAnsi"/>
                <w:b/>
                <w:bCs/>
                <w:color w:val="FFFFFF" w:themeColor="background1"/>
                <w:sz w:val="20"/>
                <w:szCs w:val="20"/>
              </w:rPr>
              <w:t>Study</w:t>
            </w:r>
          </w:p>
        </w:tc>
        <w:tc>
          <w:tcPr>
            <w:tcW w:w="1842" w:type="dxa"/>
            <w:shd w:val="clear" w:color="auto" w:fill="00B0F0"/>
            <w:vAlign w:val="top"/>
          </w:tcPr>
          <w:p w14:paraId="365A0A56" w14:textId="77777777" w:rsidR="00884712" w:rsidRPr="00DA254B" w:rsidRDefault="00884712" w:rsidP="0015219F">
            <w:pPr>
              <w:pStyle w:val="BodyText"/>
              <w:spacing w:before="120"/>
              <w:jc w:val="center"/>
              <w:rPr>
                <w:rFonts w:cstheme="minorHAnsi"/>
                <w:b/>
                <w:bCs/>
                <w:color w:val="FFFFFF" w:themeColor="background1"/>
                <w:sz w:val="20"/>
                <w:szCs w:val="20"/>
                <w:lang w:val="en-AU"/>
              </w:rPr>
            </w:pPr>
            <w:r w:rsidRPr="00DA254B">
              <w:rPr>
                <w:rFonts w:cstheme="minorHAnsi"/>
                <w:b/>
                <w:bCs/>
                <w:color w:val="FFFFFF" w:themeColor="background1"/>
                <w:sz w:val="20"/>
                <w:szCs w:val="20"/>
              </w:rPr>
              <w:t>Region / Waterway</w:t>
            </w:r>
          </w:p>
        </w:tc>
        <w:tc>
          <w:tcPr>
            <w:tcW w:w="851" w:type="dxa"/>
            <w:shd w:val="clear" w:color="auto" w:fill="00B0F0"/>
            <w:vAlign w:val="top"/>
          </w:tcPr>
          <w:p w14:paraId="374B61A1" w14:textId="77777777" w:rsidR="00884712" w:rsidRPr="00DA254B" w:rsidRDefault="00884712" w:rsidP="0015219F">
            <w:pPr>
              <w:pStyle w:val="BodyText"/>
              <w:spacing w:before="120"/>
              <w:jc w:val="center"/>
              <w:rPr>
                <w:rFonts w:cstheme="minorHAnsi"/>
                <w:b/>
                <w:bCs/>
                <w:color w:val="FFFFFF" w:themeColor="background1"/>
                <w:sz w:val="20"/>
                <w:szCs w:val="20"/>
                <w:lang w:val="en-AU"/>
              </w:rPr>
            </w:pPr>
            <w:r w:rsidRPr="00DA254B">
              <w:rPr>
                <w:rFonts w:cstheme="minorHAnsi"/>
                <w:b/>
                <w:bCs/>
                <w:color w:val="FFFFFF" w:themeColor="background1"/>
                <w:sz w:val="20"/>
                <w:szCs w:val="20"/>
              </w:rPr>
              <w:t>Year</w:t>
            </w:r>
          </w:p>
        </w:tc>
        <w:tc>
          <w:tcPr>
            <w:tcW w:w="4252" w:type="dxa"/>
            <w:shd w:val="clear" w:color="auto" w:fill="00B0F0"/>
            <w:vAlign w:val="top"/>
          </w:tcPr>
          <w:p w14:paraId="61ED35E7" w14:textId="77777777" w:rsidR="00884712" w:rsidRPr="00DA254B" w:rsidRDefault="00884712" w:rsidP="0015219F">
            <w:pPr>
              <w:pStyle w:val="BodyText"/>
              <w:spacing w:before="120"/>
              <w:jc w:val="center"/>
              <w:rPr>
                <w:rFonts w:cstheme="minorHAnsi"/>
                <w:b/>
                <w:bCs/>
                <w:color w:val="FFFFFF" w:themeColor="background1"/>
                <w:sz w:val="20"/>
                <w:szCs w:val="20"/>
                <w:lang w:val="en-AU"/>
              </w:rPr>
            </w:pPr>
            <w:r w:rsidRPr="00DA254B">
              <w:rPr>
                <w:rFonts w:cstheme="minorHAnsi"/>
                <w:b/>
                <w:bCs/>
                <w:color w:val="FFFFFF" w:themeColor="background1"/>
                <w:sz w:val="20"/>
                <w:szCs w:val="20"/>
              </w:rPr>
              <w:t>Estimated Reduction in Collisions / Groundings</w:t>
            </w:r>
          </w:p>
        </w:tc>
        <w:tc>
          <w:tcPr>
            <w:tcW w:w="561" w:type="dxa"/>
            <w:shd w:val="clear" w:color="auto" w:fill="00B0F0"/>
            <w:vAlign w:val="top"/>
          </w:tcPr>
          <w:p w14:paraId="6439C5A5" w14:textId="77777777" w:rsidR="00884712" w:rsidRPr="00DA254B" w:rsidRDefault="00884712" w:rsidP="0015219F">
            <w:pPr>
              <w:pStyle w:val="BodyText"/>
              <w:spacing w:before="120"/>
              <w:jc w:val="center"/>
              <w:rPr>
                <w:rFonts w:cstheme="minorHAnsi"/>
                <w:b/>
                <w:bCs/>
                <w:color w:val="FFFFFF" w:themeColor="background1"/>
                <w:sz w:val="20"/>
                <w:szCs w:val="20"/>
                <w:lang w:val="en-AU"/>
              </w:rPr>
            </w:pPr>
            <w:r w:rsidRPr="00DA254B">
              <w:rPr>
                <w:rFonts w:cstheme="minorHAnsi"/>
                <w:b/>
                <w:bCs/>
                <w:color w:val="FFFFFF" w:themeColor="background1"/>
                <w:sz w:val="20"/>
                <w:szCs w:val="20"/>
              </w:rPr>
              <w:t>Ref.</w:t>
            </w:r>
          </w:p>
        </w:tc>
      </w:tr>
      <w:tr w:rsidR="00884712" w:rsidRPr="00DA254B" w14:paraId="327ECBFC" w14:textId="77777777" w:rsidTr="00D32355">
        <w:tc>
          <w:tcPr>
            <w:tcW w:w="2689" w:type="dxa"/>
            <w:vAlign w:val="top"/>
          </w:tcPr>
          <w:p w14:paraId="5E9AFC63" w14:textId="77777777" w:rsidR="00884712" w:rsidRPr="00DA254B" w:rsidRDefault="00884712" w:rsidP="00D32355">
            <w:pPr>
              <w:pStyle w:val="BodyText"/>
              <w:spacing w:after="0"/>
              <w:jc w:val="left"/>
              <w:rPr>
                <w:rFonts w:cstheme="minorHAnsi"/>
                <w:sz w:val="20"/>
                <w:szCs w:val="20"/>
              </w:rPr>
            </w:pPr>
            <w:r w:rsidRPr="00DA254B">
              <w:rPr>
                <w:rFonts w:cstheme="minorHAnsi"/>
                <w:sz w:val="20"/>
                <w:szCs w:val="20"/>
              </w:rPr>
              <w:t>Reef VTS</w:t>
            </w:r>
          </w:p>
        </w:tc>
        <w:tc>
          <w:tcPr>
            <w:tcW w:w="1842" w:type="dxa"/>
            <w:vAlign w:val="top"/>
          </w:tcPr>
          <w:p w14:paraId="7AD14A43" w14:textId="77777777" w:rsidR="00884712" w:rsidRPr="00DA254B" w:rsidRDefault="00884712" w:rsidP="00D32355">
            <w:pPr>
              <w:pStyle w:val="BodyText"/>
              <w:spacing w:after="0"/>
              <w:jc w:val="left"/>
              <w:rPr>
                <w:rFonts w:cstheme="minorHAnsi"/>
                <w:sz w:val="20"/>
                <w:szCs w:val="20"/>
              </w:rPr>
            </w:pPr>
            <w:r w:rsidRPr="00DA254B">
              <w:rPr>
                <w:rFonts w:cstheme="minorHAnsi"/>
                <w:sz w:val="20"/>
                <w:szCs w:val="20"/>
              </w:rPr>
              <w:t>Great Barrier Reef &amp; Torres Strait</w:t>
            </w:r>
          </w:p>
        </w:tc>
        <w:tc>
          <w:tcPr>
            <w:tcW w:w="851" w:type="dxa"/>
            <w:vAlign w:val="top"/>
          </w:tcPr>
          <w:p w14:paraId="4A1AE68C" w14:textId="77777777" w:rsidR="00884712" w:rsidRPr="00DA254B" w:rsidRDefault="00884712" w:rsidP="00D32355">
            <w:pPr>
              <w:pStyle w:val="BodyText"/>
              <w:spacing w:after="0"/>
              <w:jc w:val="center"/>
              <w:rPr>
                <w:rFonts w:cstheme="minorHAnsi"/>
                <w:sz w:val="20"/>
                <w:szCs w:val="20"/>
              </w:rPr>
            </w:pPr>
            <w:r w:rsidRPr="00DA254B">
              <w:rPr>
                <w:rFonts w:cstheme="minorHAnsi"/>
                <w:sz w:val="20"/>
                <w:szCs w:val="20"/>
              </w:rPr>
              <w:t>2025</w:t>
            </w:r>
          </w:p>
        </w:tc>
        <w:tc>
          <w:tcPr>
            <w:tcW w:w="4252" w:type="dxa"/>
            <w:vAlign w:val="top"/>
          </w:tcPr>
          <w:p w14:paraId="050B6C98" w14:textId="77777777" w:rsidR="00884712" w:rsidRPr="00DA254B" w:rsidRDefault="00884712" w:rsidP="00D32355">
            <w:pPr>
              <w:pStyle w:val="BodyText"/>
              <w:spacing w:after="0"/>
              <w:jc w:val="left"/>
              <w:rPr>
                <w:rFonts w:cstheme="minorHAnsi"/>
                <w:sz w:val="20"/>
                <w:szCs w:val="20"/>
              </w:rPr>
            </w:pPr>
            <w:r w:rsidRPr="00DA254B">
              <w:rPr>
                <w:rFonts w:cstheme="minorHAnsi"/>
                <w:sz w:val="20"/>
                <w:szCs w:val="20"/>
              </w:rPr>
              <w:t>Powered groundings reduced to zero</w:t>
            </w:r>
          </w:p>
        </w:tc>
        <w:tc>
          <w:tcPr>
            <w:tcW w:w="561" w:type="dxa"/>
            <w:vAlign w:val="top"/>
          </w:tcPr>
          <w:p w14:paraId="2251ADA1" w14:textId="77777777" w:rsidR="00884712" w:rsidRPr="00DA254B" w:rsidRDefault="00884712" w:rsidP="00D32355">
            <w:pPr>
              <w:pStyle w:val="BodyText"/>
              <w:spacing w:after="0"/>
              <w:jc w:val="center"/>
              <w:rPr>
                <w:rFonts w:cstheme="minorHAnsi"/>
                <w:sz w:val="20"/>
                <w:szCs w:val="20"/>
              </w:rPr>
            </w:pPr>
            <w:r w:rsidRPr="00DA254B">
              <w:rPr>
                <w:rFonts w:cstheme="minorHAnsi"/>
                <w:sz w:val="20"/>
                <w:szCs w:val="20"/>
              </w:rPr>
              <w:t>[1]</w:t>
            </w:r>
          </w:p>
        </w:tc>
      </w:tr>
      <w:tr w:rsidR="00884712" w:rsidRPr="00DA254B" w14:paraId="429C5C50" w14:textId="77777777" w:rsidTr="00D32355">
        <w:tc>
          <w:tcPr>
            <w:tcW w:w="2689" w:type="dxa"/>
            <w:vAlign w:val="top"/>
          </w:tcPr>
          <w:p w14:paraId="45645BDD"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Great Belt VTS</w:t>
            </w:r>
          </w:p>
        </w:tc>
        <w:tc>
          <w:tcPr>
            <w:tcW w:w="1842" w:type="dxa"/>
            <w:vAlign w:val="top"/>
          </w:tcPr>
          <w:p w14:paraId="3624F48B"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Denmark</w:t>
            </w:r>
          </w:p>
        </w:tc>
        <w:tc>
          <w:tcPr>
            <w:tcW w:w="851" w:type="dxa"/>
            <w:vAlign w:val="top"/>
          </w:tcPr>
          <w:p w14:paraId="42C6485F"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2013</w:t>
            </w:r>
          </w:p>
        </w:tc>
        <w:tc>
          <w:tcPr>
            <w:tcW w:w="4252" w:type="dxa"/>
            <w:vAlign w:val="top"/>
          </w:tcPr>
          <w:p w14:paraId="4BD3301D"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60–90%</w:t>
            </w:r>
          </w:p>
        </w:tc>
        <w:tc>
          <w:tcPr>
            <w:tcW w:w="561" w:type="dxa"/>
            <w:vAlign w:val="top"/>
          </w:tcPr>
          <w:p w14:paraId="7FE9ACEF"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[2]</w:t>
            </w:r>
          </w:p>
        </w:tc>
      </w:tr>
      <w:tr w:rsidR="00884712" w:rsidRPr="00DA254B" w14:paraId="24B118CB" w14:textId="77777777" w:rsidTr="00D32355">
        <w:tc>
          <w:tcPr>
            <w:tcW w:w="2689" w:type="dxa"/>
            <w:vAlign w:val="top"/>
          </w:tcPr>
          <w:p w14:paraId="038E3CE9"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Asyall (IAMU)</w:t>
            </w:r>
          </w:p>
        </w:tc>
        <w:tc>
          <w:tcPr>
            <w:tcW w:w="1842" w:type="dxa"/>
            <w:vAlign w:val="top"/>
          </w:tcPr>
          <w:p w14:paraId="02C373F1"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Various</w:t>
            </w:r>
          </w:p>
        </w:tc>
        <w:tc>
          <w:tcPr>
            <w:tcW w:w="851" w:type="dxa"/>
            <w:vAlign w:val="top"/>
          </w:tcPr>
          <w:p w14:paraId="1F4387FF"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2002</w:t>
            </w:r>
          </w:p>
        </w:tc>
        <w:tc>
          <w:tcPr>
            <w:tcW w:w="4252" w:type="dxa"/>
            <w:vAlign w:val="top"/>
          </w:tcPr>
          <w:p w14:paraId="7CC4F1E4"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50–60%</w:t>
            </w:r>
          </w:p>
        </w:tc>
        <w:tc>
          <w:tcPr>
            <w:tcW w:w="561" w:type="dxa"/>
            <w:vAlign w:val="top"/>
          </w:tcPr>
          <w:p w14:paraId="2A80A7C6"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[3]</w:t>
            </w:r>
          </w:p>
        </w:tc>
      </w:tr>
      <w:tr w:rsidR="00884712" w:rsidRPr="00DA254B" w14:paraId="3129AA0F" w14:textId="77777777" w:rsidTr="00D32355">
        <w:tc>
          <w:tcPr>
            <w:tcW w:w="2689" w:type="dxa"/>
            <w:vAlign w:val="top"/>
          </w:tcPr>
          <w:p w14:paraId="3910F0A0"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Park &amp; Redfern</w:t>
            </w:r>
          </w:p>
        </w:tc>
        <w:tc>
          <w:tcPr>
            <w:tcW w:w="1842" w:type="dxa"/>
            <w:vAlign w:val="top"/>
          </w:tcPr>
          <w:p w14:paraId="59EBEB89"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Various</w:t>
            </w:r>
          </w:p>
        </w:tc>
        <w:tc>
          <w:tcPr>
            <w:tcW w:w="851" w:type="dxa"/>
            <w:vAlign w:val="top"/>
          </w:tcPr>
          <w:p w14:paraId="4AB7D690"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1995</w:t>
            </w:r>
          </w:p>
        </w:tc>
        <w:tc>
          <w:tcPr>
            <w:tcW w:w="4252" w:type="dxa"/>
            <w:vAlign w:val="top"/>
          </w:tcPr>
          <w:p w14:paraId="09AF2C74"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50–60%</w:t>
            </w:r>
          </w:p>
        </w:tc>
        <w:tc>
          <w:tcPr>
            <w:tcW w:w="561" w:type="dxa"/>
            <w:vAlign w:val="top"/>
          </w:tcPr>
          <w:p w14:paraId="20492553"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[4]</w:t>
            </w:r>
          </w:p>
        </w:tc>
      </w:tr>
      <w:tr w:rsidR="00884712" w:rsidRPr="00DA254B" w14:paraId="46790825" w14:textId="77777777" w:rsidTr="00D32355">
        <w:tc>
          <w:tcPr>
            <w:tcW w:w="2689" w:type="dxa"/>
            <w:vAlign w:val="top"/>
          </w:tcPr>
          <w:p w14:paraId="266DD12D"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USCG Port Needs Study</w:t>
            </w:r>
          </w:p>
        </w:tc>
        <w:tc>
          <w:tcPr>
            <w:tcW w:w="1842" w:type="dxa"/>
            <w:vAlign w:val="top"/>
          </w:tcPr>
          <w:p w14:paraId="5DFE6903"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USA</w:t>
            </w:r>
          </w:p>
        </w:tc>
        <w:tc>
          <w:tcPr>
            <w:tcW w:w="851" w:type="dxa"/>
            <w:vAlign w:val="top"/>
          </w:tcPr>
          <w:p w14:paraId="040F84BD"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1991</w:t>
            </w:r>
          </w:p>
        </w:tc>
        <w:tc>
          <w:tcPr>
            <w:tcW w:w="4252" w:type="dxa"/>
            <w:vAlign w:val="top"/>
          </w:tcPr>
          <w:p w14:paraId="626408AC"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0.52–0.68 (collisions), 0.25–0.46 (groundings)</w:t>
            </w:r>
          </w:p>
        </w:tc>
        <w:tc>
          <w:tcPr>
            <w:tcW w:w="561" w:type="dxa"/>
            <w:vAlign w:val="top"/>
          </w:tcPr>
          <w:p w14:paraId="32AD894C"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[5]</w:t>
            </w:r>
          </w:p>
        </w:tc>
      </w:tr>
      <w:tr w:rsidR="00884712" w:rsidRPr="00DA254B" w14:paraId="5389C137" w14:textId="77777777" w:rsidTr="00D32355">
        <w:tc>
          <w:tcPr>
            <w:tcW w:w="2689" w:type="dxa"/>
            <w:vAlign w:val="top"/>
          </w:tcPr>
          <w:p w14:paraId="2C3A3D9F"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Tokyo Bay Study</w:t>
            </w:r>
          </w:p>
        </w:tc>
        <w:tc>
          <w:tcPr>
            <w:tcW w:w="1842" w:type="dxa"/>
            <w:vAlign w:val="top"/>
          </w:tcPr>
          <w:p w14:paraId="515ACFDB"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Japan</w:t>
            </w:r>
          </w:p>
        </w:tc>
        <w:tc>
          <w:tcPr>
            <w:tcW w:w="851" w:type="dxa"/>
            <w:vAlign w:val="top"/>
          </w:tcPr>
          <w:p w14:paraId="23E4EF42"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1990</w:t>
            </w:r>
          </w:p>
        </w:tc>
        <w:tc>
          <w:tcPr>
            <w:tcW w:w="4252" w:type="dxa"/>
            <w:vAlign w:val="top"/>
          </w:tcPr>
          <w:p w14:paraId="20BB83A1"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52%</w:t>
            </w:r>
          </w:p>
        </w:tc>
        <w:tc>
          <w:tcPr>
            <w:tcW w:w="561" w:type="dxa"/>
            <w:vAlign w:val="top"/>
          </w:tcPr>
          <w:p w14:paraId="54B58A5C"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[6]</w:t>
            </w:r>
          </w:p>
        </w:tc>
      </w:tr>
      <w:tr w:rsidR="00884712" w:rsidRPr="00DA254B" w14:paraId="2DFC3373" w14:textId="77777777" w:rsidTr="00D32355">
        <w:tc>
          <w:tcPr>
            <w:tcW w:w="2689" w:type="dxa"/>
            <w:vAlign w:val="top"/>
          </w:tcPr>
          <w:p w14:paraId="66C633FE" w14:textId="77777777" w:rsidR="00884712" w:rsidRPr="00DA254B" w:rsidRDefault="00884712" w:rsidP="00D32355">
            <w:pPr>
              <w:pStyle w:val="BodyText"/>
              <w:spacing w:after="0"/>
              <w:jc w:val="left"/>
              <w:rPr>
                <w:rFonts w:cstheme="minorHAnsi"/>
                <w:sz w:val="20"/>
                <w:szCs w:val="20"/>
              </w:rPr>
            </w:pPr>
            <w:r w:rsidRPr="00DA254B">
              <w:rPr>
                <w:rFonts w:cstheme="minorHAnsi"/>
                <w:sz w:val="20"/>
                <w:szCs w:val="20"/>
              </w:rPr>
              <w:t>COST 301</w:t>
            </w:r>
          </w:p>
        </w:tc>
        <w:tc>
          <w:tcPr>
            <w:tcW w:w="1842" w:type="dxa"/>
            <w:vAlign w:val="top"/>
          </w:tcPr>
          <w:p w14:paraId="5CC58F62" w14:textId="77777777" w:rsidR="00884712" w:rsidRPr="00DA254B" w:rsidRDefault="00884712" w:rsidP="00D32355">
            <w:pPr>
              <w:pStyle w:val="BodyText"/>
              <w:spacing w:after="0"/>
              <w:jc w:val="left"/>
              <w:rPr>
                <w:rFonts w:cstheme="minorHAnsi"/>
                <w:sz w:val="20"/>
                <w:szCs w:val="20"/>
              </w:rPr>
            </w:pPr>
            <w:r w:rsidRPr="00DA254B">
              <w:rPr>
                <w:rFonts w:cstheme="minorHAnsi"/>
                <w:sz w:val="20"/>
                <w:szCs w:val="20"/>
              </w:rPr>
              <w:t>European waters</w:t>
            </w:r>
          </w:p>
        </w:tc>
        <w:tc>
          <w:tcPr>
            <w:tcW w:w="851" w:type="dxa"/>
            <w:vAlign w:val="top"/>
          </w:tcPr>
          <w:p w14:paraId="221A82F6" w14:textId="77777777" w:rsidR="00884712" w:rsidRPr="00DA254B" w:rsidRDefault="00884712" w:rsidP="00D32355">
            <w:pPr>
              <w:pStyle w:val="BodyText"/>
              <w:spacing w:after="0"/>
              <w:jc w:val="center"/>
              <w:rPr>
                <w:rFonts w:cstheme="minorHAnsi"/>
                <w:sz w:val="20"/>
                <w:szCs w:val="20"/>
              </w:rPr>
            </w:pPr>
            <w:r w:rsidRPr="00DA254B">
              <w:rPr>
                <w:rFonts w:cstheme="minorHAnsi"/>
                <w:sz w:val="20"/>
                <w:szCs w:val="20"/>
              </w:rPr>
              <w:t>1980s</w:t>
            </w:r>
          </w:p>
        </w:tc>
        <w:tc>
          <w:tcPr>
            <w:tcW w:w="4252" w:type="dxa"/>
            <w:vAlign w:val="top"/>
          </w:tcPr>
          <w:p w14:paraId="6E1EE178" w14:textId="77777777" w:rsidR="00884712" w:rsidRPr="00DA254B" w:rsidRDefault="00884712" w:rsidP="00D32355">
            <w:pPr>
              <w:pStyle w:val="BodyText"/>
              <w:spacing w:after="0"/>
              <w:jc w:val="left"/>
              <w:rPr>
                <w:rFonts w:cstheme="minorHAnsi"/>
                <w:sz w:val="20"/>
                <w:szCs w:val="20"/>
              </w:rPr>
            </w:pPr>
            <w:r w:rsidRPr="00DA254B">
              <w:rPr>
                <w:rFonts w:cstheme="minorHAnsi"/>
                <w:sz w:val="20"/>
                <w:szCs w:val="20"/>
              </w:rPr>
              <w:t>60% (collisions), 55% (groundings)</w:t>
            </w:r>
          </w:p>
        </w:tc>
        <w:tc>
          <w:tcPr>
            <w:tcW w:w="561" w:type="dxa"/>
            <w:vAlign w:val="top"/>
          </w:tcPr>
          <w:p w14:paraId="31BCAB16" w14:textId="77777777" w:rsidR="00884712" w:rsidRPr="00DA254B" w:rsidRDefault="00884712" w:rsidP="00D32355">
            <w:pPr>
              <w:pStyle w:val="BodyText"/>
              <w:spacing w:after="0"/>
              <w:jc w:val="center"/>
              <w:rPr>
                <w:rFonts w:cstheme="minorHAnsi"/>
                <w:sz w:val="20"/>
                <w:szCs w:val="20"/>
              </w:rPr>
            </w:pPr>
            <w:r w:rsidRPr="00DA254B">
              <w:rPr>
                <w:rFonts w:cstheme="minorHAnsi"/>
                <w:sz w:val="20"/>
                <w:szCs w:val="20"/>
              </w:rPr>
              <w:t>[7]</w:t>
            </w:r>
          </w:p>
        </w:tc>
      </w:tr>
      <w:tr w:rsidR="00884712" w:rsidRPr="00DA254B" w14:paraId="153DAD37" w14:textId="77777777" w:rsidTr="00D32355">
        <w:tc>
          <w:tcPr>
            <w:tcW w:w="2689" w:type="dxa"/>
            <w:vAlign w:val="top"/>
          </w:tcPr>
          <w:p w14:paraId="3F4E8F0E" w14:textId="77777777" w:rsidR="00884712" w:rsidRPr="00DA254B" w:rsidRDefault="00884712" w:rsidP="00D32355">
            <w:pPr>
              <w:pStyle w:val="BodyText"/>
              <w:spacing w:after="0"/>
              <w:jc w:val="left"/>
              <w:rPr>
                <w:rFonts w:cstheme="minorHAnsi"/>
                <w:sz w:val="20"/>
                <w:szCs w:val="20"/>
              </w:rPr>
            </w:pPr>
            <w:r w:rsidRPr="00DA254B">
              <w:rPr>
                <w:rFonts w:cstheme="minorHAnsi"/>
                <w:sz w:val="20"/>
                <w:szCs w:val="20"/>
              </w:rPr>
              <w:t>Canadian Coast Guard Study</w:t>
            </w:r>
          </w:p>
        </w:tc>
        <w:tc>
          <w:tcPr>
            <w:tcW w:w="1842" w:type="dxa"/>
            <w:vAlign w:val="top"/>
          </w:tcPr>
          <w:p w14:paraId="43D2E27A" w14:textId="77777777" w:rsidR="00884712" w:rsidRPr="00DA254B" w:rsidRDefault="00884712" w:rsidP="00D32355">
            <w:pPr>
              <w:pStyle w:val="BodyText"/>
              <w:spacing w:after="0"/>
              <w:jc w:val="left"/>
              <w:rPr>
                <w:rFonts w:cstheme="minorHAnsi"/>
                <w:sz w:val="20"/>
                <w:szCs w:val="20"/>
              </w:rPr>
            </w:pPr>
            <w:r w:rsidRPr="00DA254B">
              <w:rPr>
                <w:rFonts w:cstheme="minorHAnsi"/>
                <w:sz w:val="20"/>
                <w:szCs w:val="20"/>
              </w:rPr>
              <w:t>Canada</w:t>
            </w:r>
          </w:p>
        </w:tc>
        <w:tc>
          <w:tcPr>
            <w:tcW w:w="851" w:type="dxa"/>
            <w:vAlign w:val="top"/>
          </w:tcPr>
          <w:p w14:paraId="0C474CB9" w14:textId="77777777" w:rsidR="00884712" w:rsidRPr="00DA254B" w:rsidRDefault="00884712" w:rsidP="00D32355">
            <w:pPr>
              <w:pStyle w:val="BodyText"/>
              <w:spacing w:after="0"/>
              <w:jc w:val="center"/>
              <w:rPr>
                <w:rFonts w:cstheme="minorHAnsi"/>
                <w:sz w:val="20"/>
                <w:szCs w:val="20"/>
              </w:rPr>
            </w:pPr>
            <w:r w:rsidRPr="00DA254B">
              <w:rPr>
                <w:rFonts w:cstheme="minorHAnsi"/>
                <w:sz w:val="20"/>
                <w:szCs w:val="20"/>
              </w:rPr>
              <w:t>1984</w:t>
            </w:r>
          </w:p>
        </w:tc>
        <w:tc>
          <w:tcPr>
            <w:tcW w:w="4252" w:type="dxa"/>
            <w:vAlign w:val="top"/>
          </w:tcPr>
          <w:p w14:paraId="265705FD" w14:textId="77777777" w:rsidR="00884712" w:rsidRPr="00DA254B" w:rsidRDefault="00884712" w:rsidP="00D32355">
            <w:pPr>
              <w:pStyle w:val="BodyText"/>
              <w:spacing w:after="0"/>
              <w:jc w:val="left"/>
              <w:rPr>
                <w:rFonts w:cstheme="minorHAnsi"/>
                <w:sz w:val="20"/>
                <w:szCs w:val="20"/>
              </w:rPr>
            </w:pPr>
            <w:r w:rsidRPr="00DA254B">
              <w:rPr>
                <w:rFonts w:cstheme="minorHAnsi"/>
                <w:sz w:val="20"/>
                <w:szCs w:val="20"/>
              </w:rPr>
              <w:t>15–70% (avg. 43.3%)</w:t>
            </w:r>
          </w:p>
        </w:tc>
        <w:tc>
          <w:tcPr>
            <w:tcW w:w="561" w:type="dxa"/>
            <w:vAlign w:val="top"/>
          </w:tcPr>
          <w:p w14:paraId="738D77E6" w14:textId="77777777" w:rsidR="00884712" w:rsidRPr="00DA254B" w:rsidRDefault="00884712" w:rsidP="00D32355">
            <w:pPr>
              <w:pStyle w:val="BodyText"/>
              <w:spacing w:after="0"/>
              <w:jc w:val="center"/>
              <w:rPr>
                <w:rFonts w:cstheme="minorHAnsi"/>
                <w:sz w:val="20"/>
                <w:szCs w:val="20"/>
              </w:rPr>
            </w:pPr>
            <w:r w:rsidRPr="00DA254B">
              <w:rPr>
                <w:rFonts w:cstheme="minorHAnsi"/>
                <w:sz w:val="20"/>
                <w:szCs w:val="20"/>
              </w:rPr>
              <w:t>[8]</w:t>
            </w:r>
          </w:p>
        </w:tc>
      </w:tr>
      <w:tr w:rsidR="00884712" w:rsidRPr="00DA254B" w14:paraId="0B47D4AC" w14:textId="77777777" w:rsidTr="00D32355">
        <w:tc>
          <w:tcPr>
            <w:tcW w:w="2689" w:type="dxa"/>
            <w:vAlign w:val="top"/>
          </w:tcPr>
          <w:p w14:paraId="7A2AD7CA"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Dover Strait Research</w:t>
            </w:r>
          </w:p>
        </w:tc>
        <w:tc>
          <w:tcPr>
            <w:tcW w:w="1842" w:type="dxa"/>
            <w:vAlign w:val="top"/>
          </w:tcPr>
          <w:p w14:paraId="58A56528"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UK</w:t>
            </w:r>
          </w:p>
        </w:tc>
        <w:tc>
          <w:tcPr>
            <w:tcW w:w="851" w:type="dxa"/>
            <w:vAlign w:val="top"/>
          </w:tcPr>
          <w:p w14:paraId="5C268446"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1978</w:t>
            </w:r>
          </w:p>
        </w:tc>
        <w:tc>
          <w:tcPr>
            <w:tcW w:w="4252" w:type="dxa"/>
            <w:vAlign w:val="top"/>
          </w:tcPr>
          <w:p w14:paraId="4CAD5BFA"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54.7%</w:t>
            </w:r>
          </w:p>
        </w:tc>
        <w:tc>
          <w:tcPr>
            <w:tcW w:w="561" w:type="dxa"/>
            <w:vAlign w:val="top"/>
          </w:tcPr>
          <w:p w14:paraId="31AE6AE6"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[9]</w:t>
            </w:r>
          </w:p>
        </w:tc>
      </w:tr>
      <w:tr w:rsidR="00884712" w:rsidRPr="00DA254B" w14:paraId="1D727FBD" w14:textId="77777777" w:rsidTr="00D32355">
        <w:tc>
          <w:tcPr>
            <w:tcW w:w="2689" w:type="dxa"/>
            <w:vAlign w:val="top"/>
          </w:tcPr>
          <w:p w14:paraId="5DB6792A"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USCG Port Needs Study</w:t>
            </w:r>
          </w:p>
        </w:tc>
        <w:tc>
          <w:tcPr>
            <w:tcW w:w="1842" w:type="dxa"/>
            <w:vAlign w:val="top"/>
          </w:tcPr>
          <w:p w14:paraId="3C532051"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USA</w:t>
            </w:r>
          </w:p>
        </w:tc>
        <w:tc>
          <w:tcPr>
            <w:tcW w:w="851" w:type="dxa"/>
            <w:vAlign w:val="top"/>
          </w:tcPr>
          <w:p w14:paraId="5C0B9805"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1973</w:t>
            </w:r>
          </w:p>
        </w:tc>
        <w:tc>
          <w:tcPr>
            <w:tcW w:w="4252" w:type="dxa"/>
            <w:vAlign w:val="top"/>
          </w:tcPr>
          <w:p w14:paraId="43D3D46E" w14:textId="77777777" w:rsidR="00884712" w:rsidRPr="00DA254B" w:rsidRDefault="00884712" w:rsidP="00D32355">
            <w:pPr>
              <w:pStyle w:val="BodyText"/>
              <w:spacing w:after="0"/>
              <w:jc w:val="left"/>
              <w:rPr>
                <w:rFonts w:cstheme="minorHAnsi"/>
                <w:b/>
                <w:bCs/>
                <w:sz w:val="20"/>
                <w:szCs w:val="20"/>
                <w:lang w:val="en-AU"/>
              </w:rPr>
            </w:pPr>
            <w:r w:rsidRPr="00DA254B">
              <w:rPr>
                <w:rFonts w:cstheme="minorHAnsi"/>
                <w:sz w:val="20"/>
                <w:szCs w:val="20"/>
              </w:rPr>
              <w:t>30–32% (mixed accidents), 60–65% (collisions)</w:t>
            </w:r>
          </w:p>
        </w:tc>
        <w:tc>
          <w:tcPr>
            <w:tcW w:w="561" w:type="dxa"/>
            <w:vAlign w:val="top"/>
          </w:tcPr>
          <w:p w14:paraId="308946EB" w14:textId="77777777" w:rsidR="00884712" w:rsidRPr="00DA254B" w:rsidRDefault="00884712" w:rsidP="00D32355">
            <w:pPr>
              <w:pStyle w:val="BodyText"/>
              <w:spacing w:after="0"/>
              <w:jc w:val="center"/>
              <w:rPr>
                <w:rFonts w:cstheme="minorHAnsi"/>
                <w:b/>
                <w:bCs/>
                <w:sz w:val="20"/>
                <w:szCs w:val="20"/>
                <w:lang w:val="en-AU"/>
              </w:rPr>
            </w:pPr>
            <w:r w:rsidRPr="00DA254B">
              <w:rPr>
                <w:rFonts w:cstheme="minorHAnsi"/>
                <w:sz w:val="20"/>
                <w:szCs w:val="20"/>
              </w:rPr>
              <w:t>[10]</w:t>
            </w:r>
          </w:p>
        </w:tc>
      </w:tr>
    </w:tbl>
    <w:p w14:paraId="77DC3181" w14:textId="7432B036" w:rsidR="00884712" w:rsidRDefault="00884712" w:rsidP="00884712">
      <w:pPr>
        <w:pStyle w:val="BodyText"/>
        <w:spacing w:before="240" w:line="240" w:lineRule="auto"/>
        <w:rPr>
          <w:lang w:val="en-AU"/>
        </w:rPr>
      </w:pPr>
      <w:r w:rsidRPr="004E7601">
        <w:rPr>
          <w:lang w:val="en-AU"/>
        </w:rPr>
        <w:t xml:space="preserve">While these studies provide valuable insight into the potential safety benefits of VTS, their findings should be interpreted with care. </w:t>
      </w:r>
      <w:r w:rsidR="00FA6036">
        <w:rPr>
          <w:lang w:val="en-AU"/>
        </w:rPr>
        <w:t xml:space="preserve"> </w:t>
      </w:r>
      <w:r w:rsidRPr="004E7601">
        <w:rPr>
          <w:lang w:val="en-AU"/>
        </w:rPr>
        <w:t xml:space="preserve">Differences in methodology, data availability, waterway characteristics and historical context mean that results are not always directly comparable. </w:t>
      </w:r>
    </w:p>
    <w:p w14:paraId="55641913" w14:textId="1C00B0DA" w:rsidR="00884712" w:rsidRPr="00BC4DD1" w:rsidRDefault="00884712" w:rsidP="00884712">
      <w:pPr>
        <w:pStyle w:val="BodyText"/>
        <w:spacing w:before="240" w:line="240" w:lineRule="auto"/>
        <w:rPr>
          <w:lang w:val="en-AU"/>
        </w:rPr>
      </w:pPr>
      <w:r w:rsidRPr="004E7601">
        <w:rPr>
          <w:lang w:val="en-AU"/>
        </w:rPr>
        <w:t>These considerations highlight the importance of complementing quantitative estimates with qualitative evidence drawn from incident reports and operational experience, as outlined in the methodology presented in this Guideline</w:t>
      </w:r>
      <w:r w:rsidR="001D0E17">
        <w:rPr>
          <w:lang w:val="en-AU"/>
        </w:rPr>
        <w:t>.</w:t>
      </w:r>
    </w:p>
    <w:p w14:paraId="7C22C770" w14:textId="642758D5" w:rsidR="00884712" w:rsidRDefault="00884712" w:rsidP="00884712">
      <w:pPr>
        <w:pStyle w:val="Heading2"/>
      </w:pPr>
      <w:bookmarkStart w:id="6" w:name="_Toc235197765"/>
      <w:bookmarkStart w:id="7" w:name="_Toc238036109"/>
      <w:r>
        <w:lastRenderedPageBreak/>
        <w:t>Advantages in adopting the framework</w:t>
      </w:r>
      <w:bookmarkEnd w:id="6"/>
      <w:bookmarkEnd w:id="7"/>
    </w:p>
    <w:p w14:paraId="3E902BB2" w14:textId="77777777" w:rsidR="00467F5C" w:rsidRPr="00467F5C" w:rsidRDefault="00467F5C" w:rsidP="00175F16">
      <w:pPr>
        <w:pStyle w:val="Heading2separationline"/>
      </w:pPr>
    </w:p>
    <w:p w14:paraId="489D2055" w14:textId="1D8B9DEA" w:rsidR="0058306F" w:rsidRDefault="0058306F" w:rsidP="00840CB4">
      <w:pPr>
        <w:pStyle w:val="BodyText"/>
        <w:spacing w:before="60" w:after="60"/>
        <w:rPr>
          <w:lang w:val="en-AU"/>
        </w:rPr>
      </w:pPr>
      <w:r>
        <w:rPr>
          <w:lang w:val="en-AU"/>
        </w:rPr>
        <w:t>A</w:t>
      </w:r>
      <w:r w:rsidRPr="002A6982">
        <w:rPr>
          <w:lang w:val="en-AU"/>
        </w:rPr>
        <w:t xml:space="preserve">dopting a structured framework </w:t>
      </w:r>
      <w:r w:rsidR="00A96E66">
        <w:rPr>
          <w:lang w:val="en-AU"/>
        </w:rPr>
        <w:t xml:space="preserve">enables </w:t>
      </w:r>
      <w:r w:rsidR="00A96E66" w:rsidRPr="00C1177E">
        <w:t>a VTS to demonstrate its contribution to navigational safety</w:t>
      </w:r>
      <w:r w:rsidRPr="002A6982">
        <w:rPr>
          <w:lang w:val="en-AU"/>
        </w:rPr>
        <w:t xml:space="preserve"> and environmental protection in a consistent, transparent, and evidence-based manner. It supports long term trend analysis, facilitates organisational and regulatory reporting, and provides a foundation for continuous improvement across different VTS contexts</w:t>
      </w:r>
      <w:r w:rsidRPr="00DF2AD3">
        <w:rPr>
          <w:lang w:val="en-AU"/>
        </w:rPr>
        <w:t>.</w:t>
      </w:r>
    </w:p>
    <w:p w14:paraId="7E42FFA3" w14:textId="3B785B57" w:rsidR="00884712" w:rsidRPr="00506A67" w:rsidRDefault="00DA4CDA" w:rsidP="00884712">
      <w:pPr>
        <w:pStyle w:val="BodyText"/>
        <w:spacing w:before="60" w:after="60"/>
        <w:rPr>
          <w:lang w:val="en-AU"/>
        </w:rPr>
      </w:pPr>
      <w:r>
        <w:rPr>
          <w:lang w:val="en-AU"/>
        </w:rPr>
        <w:t>There are</w:t>
      </w:r>
      <w:r w:rsidR="00884712" w:rsidRPr="00506A67">
        <w:rPr>
          <w:lang w:val="en-AU"/>
        </w:rPr>
        <w:t xml:space="preserve"> several advantages for a VTS, including:</w:t>
      </w:r>
    </w:p>
    <w:p w14:paraId="6B56113D" w14:textId="77777777" w:rsidR="00884712" w:rsidRPr="00820AD7" w:rsidRDefault="00884712" w:rsidP="00DA78AB">
      <w:pPr>
        <w:pStyle w:val="BodyText"/>
        <w:numPr>
          <w:ilvl w:val="0"/>
          <w:numId w:val="24"/>
        </w:numPr>
        <w:spacing w:before="60" w:after="60"/>
        <w:rPr>
          <w:lang w:val="en-AU"/>
        </w:rPr>
      </w:pPr>
      <w:r w:rsidRPr="00506A67">
        <w:rPr>
          <w:b/>
          <w:bCs/>
          <w:lang w:val="en-AU"/>
        </w:rPr>
        <w:t>VTS objectives</w:t>
      </w:r>
    </w:p>
    <w:p w14:paraId="5FE04945" w14:textId="77777777" w:rsidR="00884712" w:rsidRPr="00506A67" w:rsidRDefault="00884712" w:rsidP="00884712">
      <w:pPr>
        <w:pStyle w:val="BodyText"/>
        <w:spacing w:before="60" w:after="60"/>
        <w:ind w:left="708"/>
        <w:rPr>
          <w:lang w:val="en-AU"/>
        </w:rPr>
      </w:pPr>
      <w:r w:rsidRPr="00506A67">
        <w:rPr>
          <w:lang w:val="en-AU"/>
        </w:rPr>
        <w:t xml:space="preserve">Demonstrating that operational objectives set for the VTS are being achieved. Guideline </w:t>
      </w:r>
      <w:r w:rsidRPr="00034CDC">
        <w:rPr>
          <w:i/>
          <w:iCs/>
          <w:lang w:val="en-AU"/>
        </w:rPr>
        <w:t>G1131 –</w:t>
      </w:r>
      <w:r w:rsidRPr="00506A67">
        <w:rPr>
          <w:lang w:val="en-AU"/>
        </w:rPr>
        <w:t xml:space="preserve"> </w:t>
      </w:r>
      <w:r w:rsidRPr="00506A67">
        <w:rPr>
          <w:i/>
          <w:iCs/>
          <w:lang w:val="en-AU"/>
        </w:rPr>
        <w:t>Setting and Measuring VTS Objectives</w:t>
      </w:r>
      <w:r w:rsidRPr="00506A67">
        <w:rPr>
          <w:lang w:val="en-AU"/>
        </w:rPr>
        <w:t xml:space="preserve"> provides an example:</w:t>
      </w:r>
    </w:p>
    <w:p w14:paraId="3A67BC80" w14:textId="77777777" w:rsidR="00884712" w:rsidRPr="00506A67" w:rsidRDefault="00884712" w:rsidP="00DA78AB">
      <w:pPr>
        <w:pStyle w:val="BodyText"/>
        <w:numPr>
          <w:ilvl w:val="1"/>
          <w:numId w:val="24"/>
        </w:numPr>
        <w:spacing w:before="60" w:after="60"/>
        <w:rPr>
          <w:lang w:val="en-AU"/>
        </w:rPr>
      </w:pPr>
      <w:r w:rsidRPr="00506A67">
        <w:rPr>
          <w:b/>
          <w:bCs/>
          <w:lang w:val="en-AU"/>
        </w:rPr>
        <w:t>Objective:</w:t>
      </w:r>
      <w:r w:rsidRPr="00506A67">
        <w:rPr>
          <w:lang w:val="en-AU"/>
        </w:rPr>
        <w:t xml:space="preserve"> </w:t>
      </w:r>
      <w:r w:rsidRPr="00907ECC">
        <w:rPr>
          <w:lang w:val="en-AU"/>
        </w:rPr>
        <w:t>Capability to interact with a vessel to influence the decision</w:t>
      </w:r>
      <w:r w:rsidRPr="00907ECC">
        <w:rPr>
          <w:rFonts w:ascii="Cambria Math" w:hAnsi="Cambria Math" w:cs="Cambria Math"/>
          <w:lang w:val="en-AU"/>
        </w:rPr>
        <w:t>‑</w:t>
      </w:r>
      <w:r w:rsidRPr="00907ECC">
        <w:rPr>
          <w:lang w:val="en-AU"/>
        </w:rPr>
        <w:t>making process on board</w:t>
      </w:r>
      <w:r w:rsidRPr="00506A67">
        <w:rPr>
          <w:lang w:val="en-AU"/>
        </w:rPr>
        <w:t>.</w:t>
      </w:r>
    </w:p>
    <w:p w14:paraId="38B74B93" w14:textId="77777777" w:rsidR="00884712" w:rsidRPr="00506A67" w:rsidRDefault="00884712" w:rsidP="00DA78AB">
      <w:pPr>
        <w:pStyle w:val="BodyText"/>
        <w:numPr>
          <w:ilvl w:val="1"/>
          <w:numId w:val="24"/>
        </w:numPr>
        <w:spacing w:before="60" w:after="60"/>
        <w:rPr>
          <w:lang w:val="en-AU"/>
        </w:rPr>
      </w:pPr>
      <w:r w:rsidRPr="00506A67">
        <w:rPr>
          <w:b/>
          <w:bCs/>
          <w:lang w:val="en-AU"/>
        </w:rPr>
        <w:t>Measurement:</w:t>
      </w:r>
      <w:r w:rsidRPr="00506A67">
        <w:rPr>
          <w:lang w:val="en-AU"/>
        </w:rPr>
        <w:t xml:space="preserve"> </w:t>
      </w:r>
      <w:r w:rsidRPr="002F1847">
        <w:rPr>
          <w:lang w:val="en-AU"/>
        </w:rPr>
        <w:t>Percentage of interventions that successfully influenced the decision</w:t>
      </w:r>
      <w:r w:rsidRPr="002F1847">
        <w:rPr>
          <w:rFonts w:ascii="Cambria Math" w:hAnsi="Cambria Math" w:cs="Cambria Math"/>
          <w:lang w:val="en-AU"/>
        </w:rPr>
        <w:t>‑</w:t>
      </w:r>
      <w:r w:rsidRPr="002F1847">
        <w:rPr>
          <w:lang w:val="en-AU"/>
        </w:rPr>
        <w:t>making process on board (i.e., interventions that mitigated a developing unsafe situation)</w:t>
      </w:r>
      <w:r w:rsidRPr="00506A67">
        <w:rPr>
          <w:lang w:val="en-AU"/>
        </w:rPr>
        <w:t>.</w:t>
      </w:r>
    </w:p>
    <w:p w14:paraId="6ADB0E68" w14:textId="77777777" w:rsidR="00884712" w:rsidRPr="00820AD7" w:rsidRDefault="00884712" w:rsidP="00DA78AB">
      <w:pPr>
        <w:pStyle w:val="BodyText"/>
        <w:numPr>
          <w:ilvl w:val="0"/>
          <w:numId w:val="24"/>
        </w:numPr>
        <w:spacing w:before="60" w:after="60"/>
        <w:rPr>
          <w:lang w:val="en-AU"/>
        </w:rPr>
      </w:pPr>
      <w:r w:rsidRPr="00506A67">
        <w:rPr>
          <w:b/>
          <w:bCs/>
          <w:lang w:val="en-AU"/>
        </w:rPr>
        <w:t>Audits</w:t>
      </w:r>
    </w:p>
    <w:p w14:paraId="70C49AF9" w14:textId="77777777" w:rsidR="00884712" w:rsidRPr="00506A67" w:rsidRDefault="00884712" w:rsidP="00884712">
      <w:pPr>
        <w:pStyle w:val="BodyText"/>
        <w:spacing w:before="60" w:after="60"/>
        <w:ind w:left="708"/>
        <w:rPr>
          <w:lang w:val="en-AU"/>
        </w:rPr>
      </w:pPr>
      <w:r w:rsidRPr="00506A67">
        <w:rPr>
          <w:lang w:val="en-AU"/>
        </w:rPr>
        <w:t xml:space="preserve">Demonstrating that the risks identified when determining the need for the VTS have been alleviated or reduced to an acceptable level (refer to Guideline </w:t>
      </w:r>
      <w:r w:rsidRPr="00034CDC">
        <w:rPr>
          <w:i/>
          <w:iCs/>
          <w:lang w:val="en-AU"/>
        </w:rPr>
        <w:t>G1101 –</w:t>
      </w:r>
      <w:r w:rsidRPr="00506A67">
        <w:rPr>
          <w:lang w:val="en-AU"/>
        </w:rPr>
        <w:t xml:space="preserve"> </w:t>
      </w:r>
      <w:r w:rsidRPr="00506A67">
        <w:rPr>
          <w:i/>
          <w:iCs/>
          <w:lang w:val="en-AU"/>
        </w:rPr>
        <w:t>Auditing and Assessing a VTS</w:t>
      </w:r>
      <w:r w:rsidRPr="00506A67">
        <w:rPr>
          <w:lang w:val="en-AU"/>
        </w:rPr>
        <w:t>).</w:t>
      </w:r>
    </w:p>
    <w:p w14:paraId="417A3193" w14:textId="77777777" w:rsidR="00884712" w:rsidRPr="000A6343" w:rsidRDefault="00884712" w:rsidP="00DA78AB">
      <w:pPr>
        <w:pStyle w:val="BodyText"/>
        <w:numPr>
          <w:ilvl w:val="0"/>
          <w:numId w:val="24"/>
        </w:numPr>
        <w:spacing w:before="60" w:after="60"/>
        <w:rPr>
          <w:lang w:val="en-AU"/>
        </w:rPr>
      </w:pPr>
      <w:r w:rsidRPr="00506A67">
        <w:rPr>
          <w:b/>
          <w:bCs/>
          <w:lang w:val="en-AU"/>
        </w:rPr>
        <w:t>Evaluation</w:t>
      </w:r>
    </w:p>
    <w:p w14:paraId="07CCBCA2" w14:textId="77777777" w:rsidR="00884712" w:rsidRPr="00506A67" w:rsidRDefault="00884712" w:rsidP="00884712">
      <w:pPr>
        <w:pStyle w:val="BodyText"/>
        <w:spacing w:before="60" w:after="60"/>
        <w:ind w:left="708"/>
        <w:rPr>
          <w:lang w:val="en-AU"/>
        </w:rPr>
      </w:pPr>
      <w:r w:rsidRPr="00506A67">
        <w:rPr>
          <w:lang w:val="en-AU"/>
        </w:rPr>
        <w:t xml:space="preserve"> Demonstrating that regular evaluations are undertaken to ensure the problems identified and defined when implementing the VTS have been alleviated or reduced to an acceptable level (refer to Guideline </w:t>
      </w:r>
      <w:r w:rsidRPr="00034CDC">
        <w:rPr>
          <w:i/>
          <w:iCs/>
          <w:lang w:val="en-AU"/>
        </w:rPr>
        <w:t>G1141 –</w:t>
      </w:r>
      <w:r w:rsidRPr="00506A67">
        <w:rPr>
          <w:lang w:val="en-AU"/>
        </w:rPr>
        <w:t xml:space="preserve"> </w:t>
      </w:r>
      <w:r w:rsidRPr="00506A67">
        <w:rPr>
          <w:i/>
          <w:iCs/>
          <w:lang w:val="en-AU"/>
        </w:rPr>
        <w:t>Operational Procedures for Delivering VTS</w:t>
      </w:r>
      <w:r w:rsidRPr="00506A67">
        <w:rPr>
          <w:lang w:val="en-AU"/>
        </w:rPr>
        <w:t>).</w:t>
      </w:r>
    </w:p>
    <w:p w14:paraId="546D395D" w14:textId="77777777" w:rsidR="00884712" w:rsidRPr="000A6343" w:rsidRDefault="00884712" w:rsidP="00DA78AB">
      <w:pPr>
        <w:pStyle w:val="BodyText"/>
        <w:numPr>
          <w:ilvl w:val="0"/>
          <w:numId w:val="24"/>
        </w:numPr>
        <w:spacing w:before="60" w:after="60"/>
        <w:rPr>
          <w:lang w:val="en-AU"/>
        </w:rPr>
      </w:pPr>
      <w:r w:rsidRPr="00506A67">
        <w:rPr>
          <w:b/>
          <w:bCs/>
          <w:lang w:val="en-AU"/>
        </w:rPr>
        <w:t>Funding</w:t>
      </w:r>
    </w:p>
    <w:p w14:paraId="7D3E8C8F" w14:textId="77777777" w:rsidR="00884712" w:rsidRDefault="00884712" w:rsidP="00884712">
      <w:pPr>
        <w:pStyle w:val="BodyText"/>
        <w:spacing w:before="120" w:line="240" w:lineRule="auto"/>
        <w:ind w:left="708"/>
        <w:rPr>
          <w:lang w:val="en-AU"/>
        </w:rPr>
      </w:pPr>
      <w:r w:rsidRPr="00FB6A9D">
        <w:rPr>
          <w:lang w:val="en-AU"/>
        </w:rPr>
        <w:t xml:space="preserve">Supporting requests for ongoing or additional funding from the responsible authority (e.g., government, port authority or board) by clearly demonstrating the contribution of VTS to navigational safety and environmental protection. </w:t>
      </w:r>
    </w:p>
    <w:p w14:paraId="63A339BE" w14:textId="77777777" w:rsidR="00884712" w:rsidRDefault="00884712" w:rsidP="00884712">
      <w:pPr>
        <w:pStyle w:val="BodyText"/>
        <w:spacing w:before="120" w:line="240" w:lineRule="auto"/>
        <w:ind w:left="708"/>
      </w:pPr>
      <w:r w:rsidRPr="00FB6A9D">
        <w:rPr>
          <w:lang w:val="en-AU"/>
        </w:rPr>
        <w:t>The framework can also assist in securing adequate funding when the cost and value of the VTS are challenged, particularly in the context of changing operational requirements, technologies and financial circumstances.</w:t>
      </w:r>
      <w:r>
        <w:t xml:space="preserve">  </w:t>
      </w:r>
    </w:p>
    <w:p w14:paraId="07EB082A" w14:textId="77777777" w:rsidR="00884712" w:rsidRPr="000A6343" w:rsidRDefault="00884712" w:rsidP="00DA78AB">
      <w:pPr>
        <w:pStyle w:val="BodyText"/>
        <w:numPr>
          <w:ilvl w:val="0"/>
          <w:numId w:val="24"/>
        </w:numPr>
        <w:spacing w:before="60" w:after="60"/>
        <w:rPr>
          <w:lang w:val="en-AU"/>
        </w:rPr>
      </w:pPr>
      <w:r w:rsidRPr="00506A67">
        <w:rPr>
          <w:b/>
          <w:bCs/>
          <w:lang w:val="en-AU"/>
        </w:rPr>
        <w:t>Benchmarking and communication</w:t>
      </w:r>
    </w:p>
    <w:p w14:paraId="5EA4FA70" w14:textId="77777777" w:rsidR="00884712" w:rsidRDefault="00884712" w:rsidP="00884712">
      <w:pPr>
        <w:pStyle w:val="BodyText"/>
        <w:spacing w:before="60" w:after="60"/>
        <w:ind w:left="708"/>
        <w:rPr>
          <w:lang w:val="en-AU"/>
        </w:rPr>
      </w:pPr>
      <w:r w:rsidRPr="00506A67">
        <w:rPr>
          <w:lang w:val="en-AU"/>
        </w:rPr>
        <w:t>Providing a structured way to benchmark and communicate the contribution of VTS and its interrelationship with associated safety and environmental measures such as pilotage, decision</w:t>
      </w:r>
      <w:r w:rsidRPr="00506A67">
        <w:rPr>
          <w:lang w:val="en-AU"/>
        </w:rPr>
        <w:noBreakHyphen/>
        <w:t>support tools, routeing measures and environmental legislation.</w:t>
      </w:r>
    </w:p>
    <w:p w14:paraId="3242667B" w14:textId="45C07826" w:rsidR="00D9285A" w:rsidRPr="00175F16" w:rsidRDefault="00D9285A" w:rsidP="006B6289">
      <w:pPr>
        <w:pStyle w:val="Heading1"/>
      </w:pPr>
      <w:bookmarkStart w:id="8" w:name="_Toc235197766"/>
      <w:bookmarkStart w:id="9" w:name="_Toc238036110"/>
      <w:r>
        <w:t>Methodology</w:t>
      </w:r>
      <w:bookmarkEnd w:id="9"/>
    </w:p>
    <w:bookmarkEnd w:id="8"/>
    <w:p w14:paraId="64030299" w14:textId="77777777" w:rsidR="00884712" w:rsidRPr="003142D5" w:rsidRDefault="00884712" w:rsidP="00884712">
      <w:pPr>
        <w:pStyle w:val="Heading2separationline"/>
      </w:pPr>
    </w:p>
    <w:p w14:paraId="064E6BD6" w14:textId="77777777" w:rsidR="00884712" w:rsidRPr="000565A2" w:rsidRDefault="00884712" w:rsidP="00884712">
      <w:pPr>
        <w:spacing w:before="120" w:after="120" w:line="240" w:lineRule="auto"/>
        <w:rPr>
          <w:rFonts w:eastAsia="Times New Roman" w:cstheme="minorHAnsi"/>
          <w:sz w:val="22"/>
          <w:lang w:val="en-AU" w:eastAsia="en-AU"/>
        </w:rPr>
      </w:pPr>
      <w:r w:rsidRPr="000565A2">
        <w:rPr>
          <w:rFonts w:eastAsia="Times New Roman" w:cstheme="minorHAnsi"/>
          <w:sz w:val="22"/>
          <w:lang w:val="en-AU" w:eastAsia="en-AU"/>
        </w:rPr>
        <w:t xml:space="preserve">This section describes </w:t>
      </w:r>
      <w:r>
        <w:rPr>
          <w:rFonts w:eastAsia="Times New Roman" w:cstheme="minorHAnsi"/>
          <w:sz w:val="22"/>
          <w:lang w:val="en-AU" w:eastAsia="en-AU"/>
        </w:rPr>
        <w:t>a</w:t>
      </w:r>
      <w:r w:rsidRPr="000565A2">
        <w:rPr>
          <w:rFonts w:eastAsia="Times New Roman" w:cstheme="minorHAnsi"/>
          <w:sz w:val="22"/>
          <w:lang w:val="en-AU" w:eastAsia="en-AU"/>
        </w:rPr>
        <w:t xml:space="preserve"> methodology used to analyse and demonstrate the contribution of VTS. It outlines the principles, data requirements, and analytical steps needed to produce consistent, meaningful outputs. The methodology is designed to be flexible and adaptable, allowing VTS providers to tailor it to their operational context, available datasets, and specific safety objectives.</w:t>
      </w:r>
    </w:p>
    <w:p w14:paraId="098BA066" w14:textId="193EEE8D" w:rsidR="00884712" w:rsidRPr="000565A2" w:rsidRDefault="00884712" w:rsidP="00884712">
      <w:pPr>
        <w:spacing w:before="120" w:after="120" w:line="240" w:lineRule="auto"/>
        <w:rPr>
          <w:rFonts w:eastAsia="Times New Roman" w:cstheme="minorHAnsi"/>
          <w:sz w:val="22"/>
          <w:lang w:val="en-AU" w:eastAsia="en-AU"/>
        </w:rPr>
      </w:pPr>
      <w:r w:rsidRPr="000565A2">
        <w:rPr>
          <w:rFonts w:eastAsia="Times New Roman" w:cstheme="minorHAnsi"/>
          <w:sz w:val="22"/>
          <w:lang w:val="en-AU" w:eastAsia="en-AU"/>
        </w:rPr>
        <w:t>To support understanding of how the methodology can be applied, Section 3.3.</w:t>
      </w:r>
      <w:r w:rsidR="00040566">
        <w:rPr>
          <w:rFonts w:eastAsia="Times New Roman" w:cstheme="minorHAnsi"/>
          <w:sz w:val="22"/>
          <w:lang w:val="en-AU" w:eastAsia="en-AU"/>
        </w:rPr>
        <w:t>1</w:t>
      </w:r>
      <w:r w:rsidRPr="000565A2">
        <w:rPr>
          <w:rFonts w:eastAsia="Times New Roman" w:cstheme="minorHAnsi"/>
          <w:sz w:val="22"/>
          <w:lang w:val="en-AU" w:eastAsia="en-AU"/>
        </w:rPr>
        <w:t xml:space="preserve"> provides simple hypothetical examples using a 30</w:t>
      </w:r>
      <w:r w:rsidRPr="000565A2">
        <w:rPr>
          <w:rFonts w:ascii="Cambria Math" w:eastAsia="Times New Roman" w:hAnsi="Cambria Math" w:cs="Cambria Math"/>
          <w:sz w:val="22"/>
          <w:lang w:val="en-AU" w:eastAsia="en-AU"/>
        </w:rPr>
        <w:t>‑</w:t>
      </w:r>
      <w:r w:rsidRPr="000565A2">
        <w:rPr>
          <w:rFonts w:eastAsia="Times New Roman" w:cstheme="minorHAnsi"/>
          <w:sz w:val="22"/>
          <w:lang w:val="en-AU" w:eastAsia="en-AU"/>
        </w:rPr>
        <w:t>year time</w:t>
      </w:r>
      <w:r w:rsidRPr="000565A2">
        <w:rPr>
          <w:rFonts w:ascii="Cambria Math" w:eastAsia="Times New Roman" w:hAnsi="Cambria Math" w:cs="Cambria Math"/>
          <w:sz w:val="22"/>
          <w:lang w:val="en-AU" w:eastAsia="en-AU"/>
        </w:rPr>
        <w:t>‑</w:t>
      </w:r>
      <w:r w:rsidRPr="000565A2">
        <w:rPr>
          <w:rFonts w:eastAsia="Times New Roman" w:cstheme="minorHAnsi"/>
          <w:sz w:val="22"/>
          <w:lang w:val="en-AU" w:eastAsia="en-AU"/>
        </w:rPr>
        <w:t>series dataset. These examples illustrate how graphical displays can be generated to show the effect of safety measures and VTS interactions on navigational safety outcomes.</w:t>
      </w:r>
    </w:p>
    <w:p w14:paraId="4C95309C" w14:textId="450D5E3D" w:rsidR="00884712" w:rsidRPr="00A539B7" w:rsidRDefault="00884712" w:rsidP="00884712">
      <w:pPr>
        <w:spacing w:before="120" w:after="120" w:line="240" w:lineRule="auto"/>
        <w:rPr>
          <w:rFonts w:eastAsia="Times New Roman" w:cstheme="minorHAnsi"/>
          <w:sz w:val="22"/>
          <w:lang w:eastAsia="en-AU"/>
        </w:rPr>
      </w:pPr>
      <w:r w:rsidRPr="000565A2">
        <w:rPr>
          <w:rFonts w:eastAsia="Times New Roman" w:cstheme="minorHAnsi"/>
          <w:sz w:val="22"/>
          <w:lang w:val="en-AU" w:eastAsia="en-AU"/>
        </w:rPr>
        <w:t>The following subsections outline the components of the methodology, describing the terminology, data requirements, analytical structure, and categorisation principles needed to apply it consistently across different VTS contexts.</w:t>
      </w:r>
    </w:p>
    <w:p w14:paraId="1276BC6C" w14:textId="5891780E" w:rsidR="00884712" w:rsidRDefault="00884712" w:rsidP="00175F16">
      <w:pPr>
        <w:pStyle w:val="Heading2"/>
      </w:pPr>
      <w:bookmarkStart w:id="10" w:name="_Toc235197768"/>
      <w:bookmarkStart w:id="11" w:name="_Toc238036111"/>
      <w:r>
        <w:lastRenderedPageBreak/>
        <w:t>Hypothetical examples</w:t>
      </w:r>
      <w:bookmarkEnd w:id="10"/>
      <w:bookmarkEnd w:id="11"/>
    </w:p>
    <w:p w14:paraId="2CBC81CB" w14:textId="4B56DC92" w:rsidR="00E1529A" w:rsidRDefault="00884712" w:rsidP="00E1529A">
      <w:pPr>
        <w:pStyle w:val="BodyText"/>
        <w:spacing w:before="60" w:after="60"/>
        <w:rPr>
          <w:lang w:val="en-AU"/>
        </w:rPr>
      </w:pPr>
      <w:r w:rsidRPr="001912C4">
        <w:t>This section provides illustrative examples demonstrating how the methodology can generate graphical displays that show the contribution of VTS</w:t>
      </w:r>
      <w:r w:rsidR="00EB6B20">
        <w:t xml:space="preserve"> </w:t>
      </w:r>
      <w:r w:rsidRPr="001912C4">
        <w:t>together with other safety and environmental measures</w:t>
      </w:r>
      <w:r w:rsidR="00EB6B20">
        <w:t xml:space="preserve"> </w:t>
      </w:r>
      <w:r w:rsidRPr="001912C4">
        <w:t>to mitigat</w:t>
      </w:r>
      <w:r w:rsidR="008435BF">
        <w:t xml:space="preserve">e </w:t>
      </w:r>
      <w:r w:rsidRPr="001912C4">
        <w:t>navigational risk and protecting the environment. The examples draw on a hypothetical 30</w:t>
      </w:r>
      <w:r w:rsidRPr="001912C4">
        <w:rPr>
          <w:rFonts w:ascii="Cambria Math" w:hAnsi="Cambria Math" w:cs="Cambria Math"/>
        </w:rPr>
        <w:t>‑</w:t>
      </w:r>
      <w:r w:rsidRPr="001912C4">
        <w:t>year dataset reflecting the staged introduction of associated safety measures (e.g. pilotage, routeing, environmental regulations) and VTS.</w:t>
      </w:r>
      <w:r w:rsidR="00E1529A" w:rsidRPr="00E1529A">
        <w:rPr>
          <w:lang w:val="en-AU"/>
        </w:rPr>
        <w:t xml:space="preserve"> </w:t>
      </w:r>
    </w:p>
    <w:p w14:paraId="2E792640" w14:textId="0B2F32CC" w:rsidR="00E1529A" w:rsidRPr="009F3573" w:rsidRDefault="00E1529A" w:rsidP="00E1529A">
      <w:pPr>
        <w:pStyle w:val="BodyText"/>
        <w:spacing w:before="60" w:after="60"/>
        <w:rPr>
          <w:lang w:val="en-AU"/>
        </w:rPr>
      </w:pPr>
      <w:r w:rsidRPr="00033931">
        <w:rPr>
          <w:lang w:val="en-AU"/>
        </w:rPr>
        <w:t xml:space="preserve">These examples demonstrate how VTS providers can apply the methodology and tailor it to their operational context. For instance, </w:t>
      </w:r>
      <w:r>
        <w:rPr>
          <w:lang w:val="en-AU"/>
        </w:rPr>
        <w:t xml:space="preserve">demonstrating </w:t>
      </w:r>
      <w:r w:rsidRPr="00033931">
        <w:rPr>
          <w:lang w:val="en-AU"/>
        </w:rPr>
        <w:t xml:space="preserve">interactions may be further broken-down </w:t>
      </w:r>
      <w:r>
        <w:rPr>
          <w:lang w:val="en-AU"/>
        </w:rPr>
        <w:t>by permutations highlighting types of developing unsafe situations, types of interaction and type of situation as described below</w:t>
      </w:r>
      <w:r w:rsidRPr="009F3573">
        <w:rPr>
          <w:lang w:val="en-AU"/>
        </w:rPr>
        <w:t>:</w:t>
      </w:r>
    </w:p>
    <w:p w14:paraId="78BD4395" w14:textId="77777777" w:rsidR="00E1529A" w:rsidRPr="00B361CE" w:rsidRDefault="00E1529A" w:rsidP="00E1529A">
      <w:pPr>
        <w:pStyle w:val="BodyText"/>
        <w:spacing w:before="60" w:after="60"/>
        <w:ind w:left="360"/>
        <w:rPr>
          <w:b/>
          <w:bCs/>
          <w:lang w:val="en-AU"/>
        </w:rPr>
      </w:pPr>
      <w:r w:rsidRPr="00B361CE">
        <w:rPr>
          <w:b/>
          <w:bCs/>
          <w:lang w:val="en-AU"/>
        </w:rPr>
        <w:t xml:space="preserve">Types of developing unsafe situations, </w:t>
      </w:r>
      <w:r w:rsidRPr="00B361CE">
        <w:rPr>
          <w:lang w:val="en-AU"/>
        </w:rPr>
        <w:t>such as:</w:t>
      </w:r>
    </w:p>
    <w:p w14:paraId="0FD69F45" w14:textId="77777777" w:rsidR="00E1529A" w:rsidRPr="00B361CE" w:rsidRDefault="00E1529A" w:rsidP="00E1529A">
      <w:pPr>
        <w:pStyle w:val="BodyText"/>
        <w:numPr>
          <w:ilvl w:val="0"/>
          <w:numId w:val="43"/>
        </w:numPr>
        <w:spacing w:before="60" w:after="60" w:line="240" w:lineRule="auto"/>
        <w:ind w:left="1077" w:hanging="357"/>
        <w:rPr>
          <w:lang w:val="en-AU"/>
        </w:rPr>
      </w:pPr>
      <w:r w:rsidRPr="00B361CE">
        <w:rPr>
          <w:lang w:val="en-AU"/>
        </w:rPr>
        <w:t>ship unsure of its route or position</w:t>
      </w:r>
    </w:p>
    <w:p w14:paraId="37A8E286" w14:textId="77777777" w:rsidR="00E1529A" w:rsidRPr="00B361CE" w:rsidRDefault="00E1529A" w:rsidP="00E1529A">
      <w:pPr>
        <w:pStyle w:val="BodyText"/>
        <w:numPr>
          <w:ilvl w:val="0"/>
          <w:numId w:val="43"/>
        </w:numPr>
        <w:spacing w:before="60" w:after="60" w:line="240" w:lineRule="auto"/>
        <w:ind w:left="1077" w:hanging="357"/>
        <w:rPr>
          <w:lang w:val="en-AU"/>
        </w:rPr>
      </w:pPr>
      <w:r w:rsidRPr="00B361CE">
        <w:rPr>
          <w:lang w:val="en-AU"/>
        </w:rPr>
        <w:t>ship deviating from the planned route</w:t>
      </w:r>
    </w:p>
    <w:p w14:paraId="6506FAF4" w14:textId="77777777" w:rsidR="00E1529A" w:rsidRPr="00B361CE" w:rsidRDefault="00E1529A" w:rsidP="00E1529A">
      <w:pPr>
        <w:pStyle w:val="BodyText"/>
        <w:numPr>
          <w:ilvl w:val="0"/>
          <w:numId w:val="43"/>
        </w:numPr>
        <w:spacing w:before="60" w:after="60" w:line="240" w:lineRule="auto"/>
        <w:ind w:left="1077" w:hanging="357"/>
        <w:rPr>
          <w:lang w:val="en-AU"/>
        </w:rPr>
      </w:pPr>
      <w:r w:rsidRPr="00B361CE">
        <w:rPr>
          <w:lang w:val="en-AU"/>
        </w:rPr>
        <w:t>ship missing a critical waypoint</w:t>
      </w:r>
    </w:p>
    <w:p w14:paraId="57D65F65" w14:textId="77777777" w:rsidR="00E1529A" w:rsidRPr="00B361CE" w:rsidRDefault="00E1529A" w:rsidP="00E1529A">
      <w:pPr>
        <w:pStyle w:val="BodyText"/>
        <w:numPr>
          <w:ilvl w:val="0"/>
          <w:numId w:val="43"/>
        </w:numPr>
        <w:spacing w:before="60" w:after="60" w:line="240" w:lineRule="auto"/>
        <w:ind w:left="1077" w:hanging="357"/>
        <w:rPr>
          <w:lang w:val="en-AU"/>
        </w:rPr>
      </w:pPr>
      <w:r w:rsidRPr="00B361CE">
        <w:rPr>
          <w:lang w:val="en-AU"/>
        </w:rPr>
        <w:t>ship requiring guidance to an anchoring position</w:t>
      </w:r>
    </w:p>
    <w:p w14:paraId="56169017" w14:textId="77777777" w:rsidR="00E1529A" w:rsidRPr="00B361CE" w:rsidRDefault="00E1529A" w:rsidP="00E1529A">
      <w:pPr>
        <w:pStyle w:val="BodyText"/>
        <w:numPr>
          <w:ilvl w:val="0"/>
          <w:numId w:val="43"/>
        </w:numPr>
        <w:spacing w:before="60" w:after="60" w:line="240" w:lineRule="auto"/>
        <w:ind w:left="1077" w:hanging="357"/>
        <w:rPr>
          <w:lang w:val="en-AU"/>
        </w:rPr>
      </w:pPr>
      <w:r w:rsidRPr="00B361CE">
        <w:rPr>
          <w:lang w:val="en-AU"/>
        </w:rPr>
        <w:t>ship experiencing defects or deficiencies</w:t>
      </w:r>
    </w:p>
    <w:p w14:paraId="3AA2997F" w14:textId="77777777" w:rsidR="00E1529A" w:rsidRPr="00B361CE" w:rsidRDefault="00E1529A" w:rsidP="00E1529A">
      <w:pPr>
        <w:pStyle w:val="BodyText"/>
        <w:numPr>
          <w:ilvl w:val="0"/>
          <w:numId w:val="43"/>
        </w:numPr>
        <w:spacing w:before="60" w:after="60" w:line="240" w:lineRule="auto"/>
        <w:ind w:left="1077" w:hanging="357"/>
        <w:rPr>
          <w:lang w:val="en-AU"/>
        </w:rPr>
      </w:pPr>
      <w:r w:rsidRPr="00B361CE">
        <w:rPr>
          <w:lang w:val="en-AU"/>
        </w:rPr>
        <w:t>ship at risk of grounding or collision</w:t>
      </w:r>
    </w:p>
    <w:p w14:paraId="0AE7807F" w14:textId="77777777" w:rsidR="00E1529A" w:rsidRPr="00B361CE" w:rsidRDefault="00E1529A" w:rsidP="00E1529A">
      <w:pPr>
        <w:pStyle w:val="BodyText"/>
        <w:numPr>
          <w:ilvl w:val="0"/>
          <w:numId w:val="43"/>
        </w:numPr>
        <w:spacing w:before="60" w:after="60" w:line="240" w:lineRule="auto"/>
        <w:ind w:left="1077" w:hanging="357"/>
        <w:rPr>
          <w:lang w:val="en-AU"/>
        </w:rPr>
      </w:pPr>
      <w:r w:rsidRPr="00B361CE">
        <w:rPr>
          <w:lang w:val="en-AU"/>
        </w:rPr>
        <w:t>emergency response or support to emergency services</w:t>
      </w:r>
    </w:p>
    <w:p w14:paraId="6E393611" w14:textId="77777777" w:rsidR="00E1529A" w:rsidRPr="00B361CE" w:rsidRDefault="00E1529A" w:rsidP="00E1529A">
      <w:pPr>
        <w:pStyle w:val="BodyText"/>
        <w:spacing w:before="60" w:after="60"/>
        <w:ind w:left="360"/>
        <w:rPr>
          <w:b/>
          <w:bCs/>
          <w:lang w:val="en-AU"/>
        </w:rPr>
      </w:pPr>
      <w:r w:rsidRPr="00B361CE">
        <w:rPr>
          <w:b/>
          <w:bCs/>
          <w:lang w:val="en-AU"/>
        </w:rPr>
        <w:t>Types of interaction:</w:t>
      </w:r>
    </w:p>
    <w:p w14:paraId="23DC1147" w14:textId="77777777" w:rsidR="00E1529A" w:rsidRPr="00B361CE" w:rsidRDefault="00E1529A" w:rsidP="00E1529A">
      <w:pPr>
        <w:pStyle w:val="BodyText"/>
        <w:numPr>
          <w:ilvl w:val="0"/>
          <w:numId w:val="43"/>
        </w:numPr>
        <w:spacing w:before="60" w:after="60" w:line="240" w:lineRule="auto"/>
        <w:ind w:left="1077" w:hanging="357"/>
        <w:rPr>
          <w:lang w:val="en-AU"/>
        </w:rPr>
      </w:pPr>
      <w:r w:rsidRPr="00B361CE">
        <w:rPr>
          <w:lang w:val="en-AU"/>
        </w:rPr>
        <w:t>warning</w:t>
      </w:r>
    </w:p>
    <w:p w14:paraId="4C8FA83C" w14:textId="77777777" w:rsidR="00E1529A" w:rsidRPr="00B361CE" w:rsidRDefault="00E1529A" w:rsidP="00E1529A">
      <w:pPr>
        <w:pStyle w:val="BodyText"/>
        <w:numPr>
          <w:ilvl w:val="0"/>
          <w:numId w:val="43"/>
        </w:numPr>
        <w:spacing w:before="60" w:after="60" w:line="240" w:lineRule="auto"/>
        <w:ind w:left="1077" w:hanging="357"/>
        <w:rPr>
          <w:lang w:val="en-AU"/>
        </w:rPr>
      </w:pPr>
      <w:r w:rsidRPr="00B361CE">
        <w:rPr>
          <w:lang w:val="en-AU"/>
        </w:rPr>
        <w:t>advice</w:t>
      </w:r>
    </w:p>
    <w:p w14:paraId="3E35DEAA" w14:textId="77777777" w:rsidR="00E1529A" w:rsidRPr="00B361CE" w:rsidRDefault="00E1529A" w:rsidP="00E1529A">
      <w:pPr>
        <w:pStyle w:val="BodyText"/>
        <w:numPr>
          <w:ilvl w:val="0"/>
          <w:numId w:val="43"/>
        </w:numPr>
        <w:spacing w:before="60" w:after="60" w:line="240" w:lineRule="auto"/>
        <w:ind w:left="1077" w:hanging="357"/>
        <w:rPr>
          <w:lang w:val="en-AU"/>
        </w:rPr>
      </w:pPr>
      <w:r w:rsidRPr="00B361CE">
        <w:rPr>
          <w:lang w:val="en-AU"/>
        </w:rPr>
        <w:t>instruction</w:t>
      </w:r>
    </w:p>
    <w:p w14:paraId="33ABE392" w14:textId="77777777" w:rsidR="00E1529A" w:rsidRPr="00B361CE" w:rsidRDefault="00E1529A" w:rsidP="00E1529A">
      <w:pPr>
        <w:pStyle w:val="BodyText"/>
        <w:numPr>
          <w:ilvl w:val="0"/>
          <w:numId w:val="43"/>
        </w:numPr>
        <w:spacing w:before="60" w:after="60" w:line="240" w:lineRule="auto"/>
        <w:ind w:left="1077" w:hanging="357"/>
        <w:rPr>
          <w:lang w:val="en-AU"/>
        </w:rPr>
      </w:pPr>
      <w:r w:rsidRPr="00B361CE">
        <w:rPr>
          <w:lang w:val="en-AU"/>
        </w:rPr>
        <w:t>escalation of the above</w:t>
      </w:r>
    </w:p>
    <w:p w14:paraId="64461A46" w14:textId="77777777" w:rsidR="00E1529A" w:rsidRPr="00B361CE" w:rsidRDefault="00E1529A" w:rsidP="00E1529A">
      <w:pPr>
        <w:pStyle w:val="BodyText"/>
        <w:spacing w:before="60" w:after="60"/>
        <w:ind w:left="360"/>
        <w:rPr>
          <w:b/>
          <w:bCs/>
          <w:lang w:val="en-AU"/>
        </w:rPr>
      </w:pPr>
      <w:r w:rsidRPr="00B361CE">
        <w:rPr>
          <w:b/>
          <w:bCs/>
          <w:lang w:val="en-AU"/>
        </w:rPr>
        <w:t>Type of Situation:</w:t>
      </w:r>
    </w:p>
    <w:p w14:paraId="706ADF25" w14:textId="77777777" w:rsidR="00E1529A" w:rsidRPr="00B361CE" w:rsidRDefault="00E1529A" w:rsidP="00E1529A">
      <w:pPr>
        <w:pStyle w:val="BodyText"/>
        <w:numPr>
          <w:ilvl w:val="0"/>
          <w:numId w:val="43"/>
        </w:numPr>
        <w:spacing w:before="60" w:after="60" w:line="240" w:lineRule="auto"/>
        <w:ind w:left="1077" w:hanging="357"/>
      </w:pPr>
      <w:r w:rsidRPr="00B361CE">
        <w:t>marine casualty</w:t>
      </w:r>
    </w:p>
    <w:p w14:paraId="4EFF87F9" w14:textId="77777777" w:rsidR="00E1529A" w:rsidRPr="00B361CE" w:rsidRDefault="00E1529A" w:rsidP="00E1529A">
      <w:pPr>
        <w:pStyle w:val="BodyText"/>
        <w:numPr>
          <w:ilvl w:val="0"/>
          <w:numId w:val="43"/>
        </w:numPr>
        <w:spacing w:before="60" w:after="60" w:line="240" w:lineRule="auto"/>
        <w:ind w:left="1077" w:hanging="357"/>
      </w:pPr>
      <w:r w:rsidRPr="00B361CE">
        <w:t xml:space="preserve">incident </w:t>
      </w:r>
    </w:p>
    <w:p w14:paraId="3C104D46" w14:textId="77777777" w:rsidR="00E1529A" w:rsidRPr="00B361CE" w:rsidRDefault="00E1529A" w:rsidP="00E1529A">
      <w:pPr>
        <w:pStyle w:val="BodyText"/>
        <w:numPr>
          <w:ilvl w:val="0"/>
          <w:numId w:val="43"/>
        </w:numPr>
        <w:spacing w:before="60" w:after="60" w:line="240" w:lineRule="auto"/>
        <w:ind w:left="1077" w:hanging="357"/>
      </w:pPr>
      <w:r w:rsidRPr="00B361CE">
        <w:t>near-miss situations</w:t>
      </w:r>
    </w:p>
    <w:p w14:paraId="58714CE5" w14:textId="77777777" w:rsidR="00E1529A" w:rsidRPr="006A336E" w:rsidRDefault="00E1529A" w:rsidP="00E1529A">
      <w:pPr>
        <w:pStyle w:val="BodyText"/>
        <w:spacing w:before="60" w:after="60"/>
        <w:rPr>
          <w:lang w:val="en-AU"/>
        </w:rPr>
      </w:pPr>
      <w:r w:rsidRPr="00442009">
        <w:rPr>
          <w:lang w:val="en-AU"/>
        </w:rPr>
        <w:t>This level of categorisation enables VTS providers to demonstrate, with clarity and consistency, how VTS contributes to mitigating unsafe situations and improving navigational safety.</w:t>
      </w:r>
    </w:p>
    <w:p w14:paraId="0D9FDE90" w14:textId="77777777" w:rsidR="00E1529A" w:rsidRDefault="00E1529A" w:rsidP="00E1529A">
      <w:pPr>
        <w:rPr>
          <w:rFonts w:cstheme="minorHAnsi"/>
          <w:sz w:val="22"/>
        </w:rPr>
      </w:pPr>
      <w:r w:rsidRPr="004F7F82">
        <w:rPr>
          <w:rFonts w:cstheme="minorHAnsi"/>
          <w:sz w:val="22"/>
        </w:rPr>
        <w:t>It is also important to recognise that VTS interactions frequently prevent developing unsafe situations from escalating into accidents or casualties. These near</w:t>
      </w:r>
      <w:r w:rsidRPr="004F7F82">
        <w:rPr>
          <w:rFonts w:ascii="Cambria Math" w:hAnsi="Cambria Math" w:cs="Cambria Math"/>
          <w:sz w:val="22"/>
        </w:rPr>
        <w:t>‑</w:t>
      </w:r>
      <w:r w:rsidRPr="004F7F82">
        <w:rPr>
          <w:rFonts w:cstheme="minorHAnsi"/>
          <w:sz w:val="22"/>
        </w:rPr>
        <w:t>miss events form a critical part of the dataset, as they demonstrate the preventative effect of VTS intervention even when no incident occurs.</w:t>
      </w:r>
    </w:p>
    <w:p w14:paraId="7027365A" w14:textId="02219D37" w:rsidR="00884712" w:rsidRDefault="00E1529A" w:rsidP="00E1529A">
      <w:pPr>
        <w:spacing w:after="160" w:line="259" w:lineRule="auto"/>
        <w:rPr>
          <w:rFonts w:cstheme="minorHAnsi"/>
          <w:sz w:val="22"/>
        </w:rPr>
      </w:pPr>
      <w:r>
        <w:rPr>
          <w:rFonts w:cstheme="minorHAnsi"/>
          <w:sz w:val="22"/>
        </w:rPr>
        <w:t>Further examples of how the types of developing situations, types of interaction and type of situation can be presented is provided in Annex F</w:t>
      </w:r>
      <w:r w:rsidR="000C7312">
        <w:rPr>
          <w:rFonts w:cstheme="minorHAnsi"/>
          <w:sz w:val="22"/>
        </w:rPr>
        <w:t>.</w:t>
      </w:r>
    </w:p>
    <w:p w14:paraId="45B228CF" w14:textId="4A9744D0" w:rsidR="00F23AB4" w:rsidRPr="00175F16" w:rsidRDefault="00F23AB4" w:rsidP="00175F16">
      <w:pPr>
        <w:spacing w:after="160" w:line="259" w:lineRule="auto"/>
        <w:rPr>
          <w:b/>
          <w:bCs/>
          <w:sz w:val="20"/>
          <w:szCs w:val="20"/>
          <w:u w:val="single"/>
        </w:rPr>
      </w:pPr>
      <w:r w:rsidRPr="00175F16">
        <w:rPr>
          <w:b/>
          <w:bCs/>
          <w:sz w:val="20"/>
          <w:szCs w:val="20"/>
          <w:u w:val="single"/>
        </w:rPr>
        <w:t xml:space="preserve">Example 1 - VTS </w:t>
      </w:r>
      <w:r w:rsidR="00844000" w:rsidRPr="00175F16">
        <w:rPr>
          <w:b/>
          <w:bCs/>
          <w:sz w:val="20"/>
          <w:szCs w:val="20"/>
          <w:u w:val="single"/>
        </w:rPr>
        <w:t xml:space="preserve">and Pilotage </w:t>
      </w:r>
      <w:r w:rsidR="008B00F6" w:rsidRPr="00175F16">
        <w:rPr>
          <w:b/>
          <w:bCs/>
          <w:sz w:val="20"/>
          <w:szCs w:val="20"/>
          <w:u w:val="single"/>
        </w:rPr>
        <w:t>introduced to replace LPS due to increasing traffic</w:t>
      </w:r>
    </w:p>
    <w:p w14:paraId="7693B840" w14:textId="11C79404" w:rsidR="00F37175" w:rsidRDefault="00F23AB4" w:rsidP="00175F16">
      <w:pPr>
        <w:spacing w:after="160" w:line="259" w:lineRule="auto"/>
        <w:rPr>
          <w:noProof/>
          <w:sz w:val="22"/>
        </w:rPr>
      </w:pPr>
      <w:r>
        <w:rPr>
          <w:noProof/>
          <w:sz w:val="22"/>
        </w:rPr>
        <w:drawing>
          <wp:anchor distT="0" distB="0" distL="114300" distR="114300" simplePos="0" relativeHeight="251679744" behindDoc="1" locked="0" layoutInCell="1" allowOverlap="1" wp14:anchorId="01F3FC26" wp14:editId="058E811C">
            <wp:simplePos x="0" y="0"/>
            <wp:positionH relativeFrom="margin">
              <wp:posOffset>3917264</wp:posOffset>
            </wp:positionH>
            <wp:positionV relativeFrom="paragraph">
              <wp:posOffset>3505</wp:posOffset>
            </wp:positionV>
            <wp:extent cx="2531110" cy="1499235"/>
            <wp:effectExtent l="19050" t="19050" r="21590" b="24765"/>
            <wp:wrapTight wrapText="bothSides">
              <wp:wrapPolygon edited="0">
                <wp:start x="-163" y="-274"/>
                <wp:lineTo x="-163" y="21682"/>
                <wp:lineTo x="21622" y="21682"/>
                <wp:lineTo x="21622" y="-274"/>
                <wp:lineTo x="-163" y="-274"/>
              </wp:wrapPolygon>
            </wp:wrapTight>
            <wp:docPr id="15498392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31110" cy="1499235"/>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r w:rsidRPr="001912C4">
        <w:rPr>
          <w:noProof/>
          <w:sz w:val="22"/>
        </w:rPr>
        <w:t xml:space="preserve">This example provides a </w:t>
      </w:r>
      <w:r w:rsidR="008B00F6">
        <w:rPr>
          <w:noProof/>
          <w:sz w:val="22"/>
        </w:rPr>
        <w:t xml:space="preserve">simple example of a </w:t>
      </w:r>
      <w:r w:rsidR="00153961">
        <w:rPr>
          <w:noProof/>
          <w:sz w:val="22"/>
        </w:rPr>
        <w:t>growing p</w:t>
      </w:r>
      <w:r w:rsidR="008B00F6">
        <w:rPr>
          <w:noProof/>
          <w:sz w:val="22"/>
        </w:rPr>
        <w:t>ort</w:t>
      </w:r>
      <w:r w:rsidR="00153961">
        <w:rPr>
          <w:noProof/>
          <w:sz w:val="22"/>
        </w:rPr>
        <w:t xml:space="preserve"> and the transition from operating a Local </w:t>
      </w:r>
      <w:r w:rsidR="00F37175">
        <w:rPr>
          <w:noProof/>
          <w:sz w:val="22"/>
        </w:rPr>
        <w:t>P</w:t>
      </w:r>
      <w:r w:rsidR="00153961">
        <w:rPr>
          <w:noProof/>
          <w:sz w:val="22"/>
        </w:rPr>
        <w:t>ort Serice</w:t>
      </w:r>
      <w:r w:rsidR="00F37175">
        <w:rPr>
          <w:noProof/>
          <w:sz w:val="22"/>
        </w:rPr>
        <w:t xml:space="preserve"> to introducing pilotage and VTS as a means to reduce the number of collisions.</w:t>
      </w:r>
    </w:p>
    <w:p w14:paraId="32DE011E" w14:textId="0BE9C1B0" w:rsidR="000C7312" w:rsidRPr="001912C4" w:rsidRDefault="00F23AB4" w:rsidP="00175F16">
      <w:pPr>
        <w:spacing w:after="160" w:line="259" w:lineRule="auto"/>
        <w:rPr>
          <w:noProof/>
          <w:sz w:val="22"/>
        </w:rPr>
      </w:pPr>
      <w:r w:rsidRPr="001912C4">
        <w:rPr>
          <w:noProof/>
          <w:sz w:val="22"/>
        </w:rPr>
        <w:t xml:space="preserve">The hypothetical dataset demonstrates a clear downward trajectory in </w:t>
      </w:r>
      <w:r w:rsidR="004C74AA">
        <w:rPr>
          <w:noProof/>
          <w:sz w:val="22"/>
        </w:rPr>
        <w:t xml:space="preserve">collision </w:t>
      </w:r>
      <w:r w:rsidRPr="001912C4">
        <w:rPr>
          <w:noProof/>
          <w:sz w:val="22"/>
        </w:rPr>
        <w:t>incidents as measures are adopted and refined</w:t>
      </w:r>
      <w:r w:rsidR="004C74AA">
        <w:rPr>
          <w:noProof/>
          <w:sz w:val="22"/>
        </w:rPr>
        <w:t>.</w:t>
      </w:r>
    </w:p>
    <w:p w14:paraId="652E4302" w14:textId="77777777" w:rsidR="00743EB8" w:rsidRDefault="00743EB8">
      <w:pPr>
        <w:rPr>
          <w:b/>
          <w:bCs/>
          <w:sz w:val="20"/>
          <w:szCs w:val="20"/>
          <w:u w:val="single"/>
        </w:rPr>
      </w:pPr>
      <w:r>
        <w:rPr>
          <w:b/>
          <w:bCs/>
          <w:sz w:val="20"/>
          <w:szCs w:val="20"/>
          <w:u w:val="single"/>
        </w:rPr>
        <w:br w:type="page"/>
      </w:r>
    </w:p>
    <w:p w14:paraId="2B5D0099" w14:textId="05D8B1EB" w:rsidR="00884712" w:rsidRPr="00175F16" w:rsidRDefault="00884712" w:rsidP="00175F16">
      <w:pPr>
        <w:spacing w:after="160" w:line="259" w:lineRule="auto"/>
        <w:rPr>
          <w:b/>
          <w:bCs/>
          <w:sz w:val="20"/>
          <w:szCs w:val="20"/>
          <w:u w:val="single"/>
        </w:rPr>
      </w:pPr>
      <w:r w:rsidRPr="00175F16">
        <w:rPr>
          <w:b/>
          <w:bCs/>
          <w:sz w:val="20"/>
          <w:szCs w:val="20"/>
          <w:u w:val="single"/>
        </w:rPr>
        <w:lastRenderedPageBreak/>
        <w:t xml:space="preserve">Example </w:t>
      </w:r>
      <w:r w:rsidR="004C74AA" w:rsidRPr="00175F16">
        <w:rPr>
          <w:b/>
          <w:bCs/>
          <w:sz w:val="20"/>
          <w:szCs w:val="20"/>
          <w:u w:val="single"/>
        </w:rPr>
        <w:t>2</w:t>
      </w:r>
      <w:r w:rsidRPr="00175F16">
        <w:rPr>
          <w:b/>
          <w:bCs/>
          <w:sz w:val="20"/>
          <w:szCs w:val="20"/>
          <w:u w:val="single"/>
        </w:rPr>
        <w:t xml:space="preserve"> - Safety Measures and VTS Introduction</w:t>
      </w:r>
    </w:p>
    <w:p w14:paraId="29ECC89F" w14:textId="246001DD" w:rsidR="00884712" w:rsidRPr="001912C4" w:rsidRDefault="009E3FD5" w:rsidP="00175F16">
      <w:pPr>
        <w:spacing w:after="160" w:line="259" w:lineRule="auto"/>
        <w:rPr>
          <w:noProof/>
          <w:sz w:val="22"/>
        </w:rPr>
      </w:pPr>
      <w:r>
        <w:rPr>
          <w:noProof/>
          <w:sz w:val="22"/>
        </w:rPr>
        <w:drawing>
          <wp:anchor distT="0" distB="0" distL="114300" distR="114300" simplePos="0" relativeHeight="251672576" behindDoc="1" locked="0" layoutInCell="1" allowOverlap="1" wp14:anchorId="72A9AA92" wp14:editId="2E9DCF6B">
            <wp:simplePos x="0" y="0"/>
            <wp:positionH relativeFrom="column">
              <wp:posOffset>3811296</wp:posOffset>
            </wp:positionH>
            <wp:positionV relativeFrom="paragraph">
              <wp:posOffset>30912</wp:posOffset>
            </wp:positionV>
            <wp:extent cx="2486025" cy="1492885"/>
            <wp:effectExtent l="19050" t="19050" r="9525" b="12065"/>
            <wp:wrapTight wrapText="bothSides">
              <wp:wrapPolygon edited="0">
                <wp:start x="-166" y="-276"/>
                <wp:lineTo x="-166" y="21499"/>
                <wp:lineTo x="21517" y="21499"/>
                <wp:lineTo x="21517" y="-276"/>
                <wp:lineTo x="-166" y="-276"/>
              </wp:wrapPolygon>
            </wp:wrapTight>
            <wp:docPr id="950242113" name="Picture 2" descr="The diagram illustrates a comparison of safety measures and their impact on the number of collisions and groundings over a period, with two distinct measures introduce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242113" name="Picture 2" descr="The diagram illustrates a comparison of safety measures and their impact on the number of collisions and groundings over a period, with two distinct measures introduced.&#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486025" cy="1492885"/>
                    </a:xfrm>
                    <a:prstGeom prst="rect">
                      <a:avLst/>
                    </a:prstGeom>
                    <a:ln>
                      <a:solidFill>
                        <a:srgbClr val="00558C"/>
                      </a:solidFill>
                    </a:ln>
                  </pic:spPr>
                </pic:pic>
              </a:graphicData>
            </a:graphic>
            <wp14:sizeRelH relativeFrom="margin">
              <wp14:pctWidth>0</wp14:pctWidth>
            </wp14:sizeRelH>
            <wp14:sizeRelV relativeFrom="margin">
              <wp14:pctHeight>0</wp14:pctHeight>
            </wp14:sizeRelV>
          </wp:anchor>
        </w:drawing>
      </w:r>
      <w:r w:rsidR="00884712" w:rsidRPr="001912C4">
        <w:rPr>
          <w:noProof/>
          <w:sz w:val="22"/>
        </w:rPr>
        <w:t>This example provides a high</w:t>
      </w:r>
      <w:r w:rsidR="00884712" w:rsidRPr="001912C4">
        <w:rPr>
          <w:rFonts w:ascii="Cambria Math" w:hAnsi="Cambria Math" w:cs="Cambria Math"/>
          <w:noProof/>
          <w:sz w:val="22"/>
        </w:rPr>
        <w:t>‑</w:t>
      </w:r>
      <w:r w:rsidR="00884712" w:rsidRPr="001912C4">
        <w:rPr>
          <w:noProof/>
          <w:sz w:val="22"/>
        </w:rPr>
        <w:t>level overview of how the introduction and improvement of safety measures can be represented graphically to show their effect on reducing groundings or collisions.</w:t>
      </w:r>
    </w:p>
    <w:p w14:paraId="7BD949D5" w14:textId="218D62BF" w:rsidR="00884712" w:rsidRPr="001912C4" w:rsidRDefault="00884712" w:rsidP="00175F16">
      <w:pPr>
        <w:spacing w:after="160" w:line="259" w:lineRule="auto"/>
        <w:rPr>
          <w:noProof/>
          <w:sz w:val="22"/>
        </w:rPr>
      </w:pPr>
      <w:r w:rsidRPr="001912C4">
        <w:rPr>
          <w:noProof/>
          <w:sz w:val="22"/>
        </w:rPr>
        <w:t>The hypothetical dataset demonstrates a clear downward trajectory in incidents as measures are adopted and refined:</w:t>
      </w:r>
    </w:p>
    <w:p w14:paraId="59F27AEC" w14:textId="77777777" w:rsidR="00884712" w:rsidRPr="001912C4" w:rsidRDefault="00884712" w:rsidP="00175F16">
      <w:pPr>
        <w:pStyle w:val="ListParagraph"/>
        <w:numPr>
          <w:ilvl w:val="1"/>
          <w:numId w:val="22"/>
        </w:numPr>
        <w:spacing w:after="160" w:line="259" w:lineRule="auto"/>
        <w:ind w:left="732"/>
        <w:rPr>
          <w:noProof/>
        </w:rPr>
      </w:pPr>
      <w:r w:rsidRPr="001912C4">
        <w:rPr>
          <w:noProof/>
        </w:rPr>
        <w:t>Early years (Y1–Y7) exhibit elevated grounding rates.</w:t>
      </w:r>
    </w:p>
    <w:p w14:paraId="46628407" w14:textId="77777777" w:rsidR="00884712" w:rsidRPr="001912C4" w:rsidRDefault="00884712" w:rsidP="00175F16">
      <w:pPr>
        <w:pStyle w:val="ListParagraph"/>
        <w:numPr>
          <w:ilvl w:val="1"/>
          <w:numId w:val="22"/>
        </w:numPr>
        <w:spacing w:after="160" w:line="259" w:lineRule="auto"/>
        <w:ind w:left="732"/>
        <w:rPr>
          <w:noProof/>
        </w:rPr>
      </w:pPr>
      <w:r w:rsidRPr="001912C4">
        <w:rPr>
          <w:noProof/>
        </w:rPr>
        <w:t>Mid</w:t>
      </w:r>
      <w:r w:rsidRPr="001912C4">
        <w:rPr>
          <w:rFonts w:ascii="Cambria Math" w:hAnsi="Cambria Math" w:cs="Cambria Math"/>
          <w:noProof/>
        </w:rPr>
        <w:t>‑</w:t>
      </w:r>
      <w:r w:rsidRPr="001912C4">
        <w:rPr>
          <w:noProof/>
        </w:rPr>
        <w:t>period values decline steadily.</w:t>
      </w:r>
    </w:p>
    <w:p w14:paraId="4C6FE7A5" w14:textId="77777777" w:rsidR="00884712" w:rsidRPr="001912C4" w:rsidRDefault="00884712" w:rsidP="00175F16">
      <w:pPr>
        <w:pStyle w:val="ListParagraph"/>
        <w:numPr>
          <w:ilvl w:val="1"/>
          <w:numId w:val="22"/>
        </w:numPr>
        <w:spacing w:after="160" w:line="259" w:lineRule="auto"/>
        <w:ind w:left="732"/>
        <w:rPr>
          <w:noProof/>
        </w:rPr>
      </w:pPr>
      <w:r w:rsidRPr="001912C4">
        <w:rPr>
          <w:noProof/>
        </w:rPr>
        <w:t>By Y19–Y20, groundings fall to zero.</w:t>
      </w:r>
    </w:p>
    <w:p w14:paraId="7C167C61" w14:textId="00FE9289" w:rsidR="00884712" w:rsidRPr="00C7765F" w:rsidRDefault="00884712" w:rsidP="00175F16">
      <w:pPr>
        <w:spacing w:after="160" w:line="259" w:lineRule="auto"/>
        <w:rPr>
          <w:sz w:val="22"/>
        </w:rPr>
      </w:pPr>
      <w:r w:rsidRPr="001912C4">
        <w:rPr>
          <w:noProof/>
          <w:sz w:val="22"/>
        </w:rPr>
        <w:t>This simple representation illustrates how cumulative safety interventions contribute to long</w:t>
      </w:r>
      <w:r w:rsidRPr="001912C4">
        <w:rPr>
          <w:rFonts w:ascii="Cambria Math" w:hAnsi="Cambria Math" w:cs="Cambria Math"/>
          <w:noProof/>
          <w:sz w:val="22"/>
        </w:rPr>
        <w:t>‑</w:t>
      </w:r>
      <w:r w:rsidRPr="001912C4">
        <w:rPr>
          <w:noProof/>
          <w:sz w:val="22"/>
        </w:rPr>
        <w:t>term reductions in navigational incidents.</w:t>
      </w:r>
      <w:r>
        <w:rPr>
          <w:noProof/>
          <w:sz w:val="22"/>
        </w:rPr>
        <w:t xml:space="preserve"> </w:t>
      </w:r>
    </w:p>
    <w:p w14:paraId="05AE9478" w14:textId="20E91470" w:rsidR="00884712" w:rsidRPr="00175F16" w:rsidRDefault="00884712" w:rsidP="00175F16">
      <w:pPr>
        <w:spacing w:after="160" w:line="259" w:lineRule="auto"/>
        <w:rPr>
          <w:b/>
          <w:bCs/>
          <w:sz w:val="20"/>
          <w:szCs w:val="20"/>
          <w:u w:val="single"/>
        </w:rPr>
      </w:pPr>
      <w:r w:rsidRPr="00175F16">
        <w:rPr>
          <w:b/>
          <w:bCs/>
          <w:sz w:val="20"/>
          <w:szCs w:val="20"/>
          <w:u w:val="single"/>
        </w:rPr>
        <w:t xml:space="preserve">Example </w:t>
      </w:r>
      <w:r w:rsidR="005458E7" w:rsidRPr="00175F16">
        <w:rPr>
          <w:b/>
          <w:bCs/>
          <w:sz w:val="20"/>
          <w:szCs w:val="20"/>
          <w:u w:val="single"/>
        </w:rPr>
        <w:t>3</w:t>
      </w:r>
      <w:r w:rsidRPr="00175F16">
        <w:rPr>
          <w:b/>
          <w:bCs/>
          <w:sz w:val="20"/>
          <w:szCs w:val="20"/>
          <w:u w:val="single"/>
        </w:rPr>
        <w:t xml:space="preserve"> –</w:t>
      </w:r>
      <w:r w:rsidR="00F0087B" w:rsidRPr="00175F16">
        <w:rPr>
          <w:b/>
          <w:bCs/>
          <w:sz w:val="20"/>
          <w:szCs w:val="20"/>
          <w:u w:val="single"/>
        </w:rPr>
        <w:t xml:space="preserve"> </w:t>
      </w:r>
      <w:r w:rsidRPr="00175F16">
        <w:rPr>
          <w:b/>
          <w:bCs/>
          <w:sz w:val="20"/>
          <w:szCs w:val="20"/>
          <w:u w:val="single"/>
        </w:rPr>
        <w:t>VTS Interaction</w:t>
      </w:r>
    </w:p>
    <w:p w14:paraId="1582838E" w14:textId="3142ED20" w:rsidR="00884712" w:rsidRPr="00033931" w:rsidRDefault="005458E7" w:rsidP="00175F16">
      <w:pPr>
        <w:pStyle w:val="BodyText"/>
        <w:spacing w:before="60" w:after="60"/>
        <w:rPr>
          <w:lang w:val="en-AU"/>
        </w:rPr>
      </w:pPr>
      <w:r>
        <w:rPr>
          <w:b/>
          <w:bCs/>
          <w:noProof/>
          <w:sz w:val="20"/>
          <w:szCs w:val="20"/>
        </w:rPr>
        <w:drawing>
          <wp:anchor distT="0" distB="0" distL="114300" distR="114300" simplePos="0" relativeHeight="251674624" behindDoc="1" locked="0" layoutInCell="1" allowOverlap="1" wp14:anchorId="49CEDB4B" wp14:editId="5C31B4B1">
            <wp:simplePos x="0" y="0"/>
            <wp:positionH relativeFrom="column">
              <wp:posOffset>3888105</wp:posOffset>
            </wp:positionH>
            <wp:positionV relativeFrom="paragraph">
              <wp:posOffset>55880</wp:posOffset>
            </wp:positionV>
            <wp:extent cx="2483485" cy="1536700"/>
            <wp:effectExtent l="19050" t="19050" r="12065" b="25400"/>
            <wp:wrapTight wrapText="bothSides">
              <wp:wrapPolygon edited="0">
                <wp:start x="-166" y="-268"/>
                <wp:lineTo x="-166" y="21689"/>
                <wp:lineTo x="21539" y="21689"/>
                <wp:lineTo x="21539" y="-268"/>
                <wp:lineTo x="-166" y="-268"/>
              </wp:wrapPolygon>
            </wp:wrapTight>
            <wp:docPr id="836698296" name="Picture 3" descr="The image depicts a bar chart illustrating the increase in VTS (Voyage Tracker System) interactions and groundings over time, with a clear upward trend in both metric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698296" name="Picture 3" descr="The image depicts a bar chart illustrating the increase in VTS (Voyage Tracker System) interactions and groundings over time, with a clear upward trend in both metrics.&#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483485" cy="1536700"/>
                    </a:xfrm>
                    <a:prstGeom prst="rect">
                      <a:avLst/>
                    </a:prstGeom>
                    <a:ln>
                      <a:solidFill>
                        <a:srgbClr val="00558C"/>
                      </a:solidFill>
                    </a:ln>
                  </pic:spPr>
                </pic:pic>
              </a:graphicData>
            </a:graphic>
            <wp14:sizeRelH relativeFrom="page">
              <wp14:pctWidth>0</wp14:pctWidth>
            </wp14:sizeRelH>
            <wp14:sizeRelV relativeFrom="page">
              <wp14:pctHeight>0</wp14:pctHeight>
            </wp14:sizeRelV>
          </wp:anchor>
        </w:drawing>
      </w:r>
      <w:r w:rsidR="00884712" w:rsidRPr="00033931">
        <w:rPr>
          <w:lang w:val="en-AU"/>
        </w:rPr>
        <w:t>This example provides a high</w:t>
      </w:r>
      <w:r w:rsidR="00884712" w:rsidRPr="00033931">
        <w:rPr>
          <w:rFonts w:ascii="Cambria Math" w:hAnsi="Cambria Math" w:cs="Cambria Math"/>
          <w:lang w:val="en-AU"/>
        </w:rPr>
        <w:t>‑</w:t>
      </w:r>
      <w:r w:rsidR="00884712" w:rsidRPr="00033931">
        <w:rPr>
          <w:lang w:val="en-AU"/>
        </w:rPr>
        <w:t>level overview of how VTS interactions</w:t>
      </w:r>
      <w:r w:rsidR="00884712" w:rsidRPr="00033931">
        <w:rPr>
          <w:rFonts w:ascii="Calibri" w:hAnsi="Calibri" w:cs="Calibri"/>
          <w:lang w:val="en-AU"/>
        </w:rPr>
        <w:t>—</w:t>
      </w:r>
      <w:r w:rsidR="00884712" w:rsidRPr="00033931">
        <w:rPr>
          <w:lang w:val="en-AU"/>
        </w:rPr>
        <w:t>warnings, advice, and instructions</w:t>
      </w:r>
      <w:r w:rsidR="00884712" w:rsidRPr="00033931">
        <w:rPr>
          <w:rFonts w:ascii="Calibri" w:hAnsi="Calibri" w:cs="Calibri"/>
          <w:lang w:val="en-AU"/>
        </w:rPr>
        <w:t>—</w:t>
      </w:r>
      <w:r w:rsidR="00884712" w:rsidRPr="00033931">
        <w:rPr>
          <w:lang w:val="en-AU"/>
        </w:rPr>
        <w:t>can be represented to show their role in responding to developing unsafe situations.</w:t>
      </w:r>
    </w:p>
    <w:p w14:paraId="4AFDAEC2" w14:textId="142306B0" w:rsidR="00884712" w:rsidRPr="00033931" w:rsidRDefault="00884712" w:rsidP="00175F16">
      <w:pPr>
        <w:pStyle w:val="BodyText"/>
        <w:spacing w:before="60" w:after="60"/>
        <w:rPr>
          <w:lang w:val="en-AU"/>
        </w:rPr>
      </w:pPr>
      <w:r w:rsidRPr="00033931">
        <w:rPr>
          <w:lang w:val="en-AU"/>
        </w:rPr>
        <w:t>In summary, the example highlights:</w:t>
      </w:r>
    </w:p>
    <w:p w14:paraId="01262FF5" w14:textId="78BCB21D" w:rsidR="00884712" w:rsidRPr="00033931" w:rsidRDefault="00884712" w:rsidP="00175F16">
      <w:pPr>
        <w:pStyle w:val="BodyText"/>
        <w:spacing w:before="60" w:after="60"/>
        <w:rPr>
          <w:lang w:val="en-AU"/>
        </w:rPr>
      </w:pPr>
      <w:r w:rsidRPr="00033931">
        <w:rPr>
          <w:lang w:val="en-AU"/>
        </w:rPr>
        <w:t>Groundings and collisions reduce significantly over the observed period, with multiple years achieving zero incidents.</w:t>
      </w:r>
    </w:p>
    <w:p w14:paraId="310A7790" w14:textId="596921CF" w:rsidR="00884712" w:rsidRPr="00033931" w:rsidRDefault="00884712" w:rsidP="00175F16">
      <w:pPr>
        <w:pStyle w:val="BodyText"/>
        <w:spacing w:before="60" w:after="60"/>
        <w:rPr>
          <w:lang w:val="en-AU"/>
        </w:rPr>
      </w:pPr>
      <w:r w:rsidRPr="00033931">
        <w:rPr>
          <w:lang w:val="en-AU"/>
        </w:rPr>
        <w:t>The introduction of VTS corresponds with a marked and sustained reduction in operational risk.</w:t>
      </w:r>
    </w:p>
    <w:p w14:paraId="7DC6D018" w14:textId="77777777" w:rsidR="00884712" w:rsidRPr="00BC61EE" w:rsidRDefault="00884712" w:rsidP="00175F16">
      <w:pPr>
        <w:pStyle w:val="Heading2"/>
      </w:pPr>
      <w:bookmarkStart w:id="12" w:name="_Toc235197769"/>
      <w:bookmarkStart w:id="13" w:name="_Toc238036112"/>
      <w:r w:rsidRPr="00BC61EE">
        <w:t>Contribution – clarifying terminology</w:t>
      </w:r>
      <w:bookmarkEnd w:id="12"/>
      <w:bookmarkEnd w:id="13"/>
    </w:p>
    <w:p w14:paraId="4F2A2D6B" w14:textId="3F708ECD" w:rsidR="00884712" w:rsidRPr="00175F16" w:rsidRDefault="00884712" w:rsidP="00884712">
      <w:pPr>
        <w:spacing w:before="100" w:beforeAutospacing="1" w:after="100" w:afterAutospacing="1" w:line="240" w:lineRule="auto"/>
        <w:rPr>
          <w:rFonts w:eastAsia="Times New Roman" w:cstheme="minorHAnsi"/>
          <w:sz w:val="22"/>
          <w:lang w:val="en-AU" w:eastAsia="en-AU"/>
        </w:rPr>
      </w:pPr>
      <w:r w:rsidRPr="00175F16">
        <w:rPr>
          <w:rFonts w:eastAsia="Times New Roman" w:cstheme="minorHAnsi"/>
          <w:sz w:val="22"/>
          <w:lang w:val="en-AU" w:eastAsia="en-AU"/>
        </w:rPr>
        <w:t>This section clarifies how the term ‘contribution’ is used within the methodology, ensuring consistent interpretation of the role and support that VTS provides within an integrated system of safety and environmental measures.</w:t>
      </w:r>
    </w:p>
    <w:p w14:paraId="201D2FB9" w14:textId="1A5DC5E7" w:rsidR="00884712" w:rsidRPr="00175F16" w:rsidRDefault="00884712" w:rsidP="00884712">
      <w:pPr>
        <w:spacing w:before="100" w:beforeAutospacing="1" w:after="100" w:afterAutospacing="1" w:line="240" w:lineRule="auto"/>
        <w:rPr>
          <w:rFonts w:eastAsia="Times New Roman" w:cstheme="minorHAnsi"/>
          <w:sz w:val="22"/>
          <w:lang w:val="en-AU" w:eastAsia="en-AU"/>
        </w:rPr>
      </w:pPr>
      <w:r w:rsidRPr="00175F16">
        <w:rPr>
          <w:rFonts w:eastAsia="Times New Roman" w:cstheme="minorHAnsi"/>
          <w:sz w:val="22"/>
          <w:lang w:val="en-AU" w:eastAsia="en-AU"/>
        </w:rPr>
        <w:t xml:space="preserve">In this Guideline, the term </w:t>
      </w:r>
      <w:r w:rsidRPr="00175F16">
        <w:rPr>
          <w:rFonts w:eastAsia="Times New Roman" w:cstheme="minorHAnsi"/>
          <w:i/>
          <w:iCs/>
          <w:sz w:val="22"/>
          <w:lang w:val="en-AU" w:eastAsia="en-AU"/>
        </w:rPr>
        <w:t>contribution</w:t>
      </w:r>
      <w:r w:rsidRPr="00175F16">
        <w:rPr>
          <w:rFonts w:eastAsia="Times New Roman" w:cstheme="minorHAnsi"/>
          <w:sz w:val="22"/>
          <w:lang w:val="en-AU" w:eastAsia="en-AU"/>
        </w:rPr>
        <w:t xml:space="preserve"> is used to describe the role, input and support that VTS provides within an integrated system of safety and environmental measures. It does not imply comparison with other mechanisms such as pilotage, rout</w:t>
      </w:r>
      <w:r w:rsidR="006B0060" w:rsidRPr="00175F16">
        <w:rPr>
          <w:rFonts w:eastAsia="Times New Roman" w:cstheme="minorHAnsi"/>
          <w:sz w:val="22"/>
          <w:lang w:val="en-AU" w:eastAsia="en-AU"/>
        </w:rPr>
        <w:t>e</w:t>
      </w:r>
      <w:r w:rsidRPr="00175F16">
        <w:rPr>
          <w:rFonts w:eastAsia="Times New Roman" w:cstheme="minorHAnsi"/>
          <w:sz w:val="22"/>
          <w:lang w:val="en-AU" w:eastAsia="en-AU"/>
        </w:rPr>
        <w:t>ing measures, aids to navigation, policies, procedures or environmental regulations. Each of these mechanisms plays a complementary role, and overall outcomes arise from their combined influence.</w:t>
      </w:r>
    </w:p>
    <w:p w14:paraId="1ABC9B7C" w14:textId="77777777" w:rsidR="00884712" w:rsidRPr="00175F16" w:rsidRDefault="00884712" w:rsidP="00884712">
      <w:pPr>
        <w:spacing w:before="120" w:after="120" w:line="240" w:lineRule="auto"/>
        <w:rPr>
          <w:rFonts w:eastAsia="Times New Roman" w:cstheme="minorHAnsi"/>
          <w:sz w:val="22"/>
          <w:lang w:val="en-AU" w:eastAsia="en-AU"/>
        </w:rPr>
      </w:pPr>
      <w:r w:rsidRPr="00175F16">
        <w:rPr>
          <w:rFonts w:eastAsia="Times New Roman" w:cstheme="minorHAnsi"/>
          <w:sz w:val="22"/>
          <w:lang w:val="en-AU" w:eastAsia="en-AU"/>
        </w:rPr>
        <w:t>In this Guideline, contribution refers specifically to the role and support that VTS provides through its interactions with vessels in response to developing unsafe situations and the management of vessel traffic.  Examples include:</w:t>
      </w:r>
    </w:p>
    <w:p w14:paraId="50A59E44" w14:textId="77777777" w:rsidR="00884712" w:rsidRPr="00175F16" w:rsidRDefault="00884712" w:rsidP="00DA78AB">
      <w:pPr>
        <w:numPr>
          <w:ilvl w:val="0"/>
          <w:numId w:val="25"/>
        </w:numPr>
        <w:spacing w:before="120" w:after="120" w:line="240" w:lineRule="auto"/>
        <w:rPr>
          <w:rFonts w:eastAsia="Times New Roman" w:cstheme="minorHAnsi"/>
          <w:sz w:val="22"/>
          <w:lang w:val="en-AU" w:eastAsia="en-AU"/>
        </w:rPr>
      </w:pPr>
      <w:r w:rsidRPr="00175F16">
        <w:rPr>
          <w:rFonts w:eastAsia="Times New Roman" w:cstheme="minorHAnsi"/>
          <w:sz w:val="22"/>
          <w:lang w:val="en-AU" w:eastAsia="en-AU"/>
        </w:rPr>
        <w:t>interacting with vessels to identify and mitigate developing unsafe situations through warnings, advice and instructions;</w:t>
      </w:r>
    </w:p>
    <w:p w14:paraId="7CB575B5" w14:textId="77777777" w:rsidR="00884712" w:rsidRPr="00175F16" w:rsidRDefault="00884712" w:rsidP="00DA78AB">
      <w:pPr>
        <w:numPr>
          <w:ilvl w:val="0"/>
          <w:numId w:val="25"/>
        </w:numPr>
        <w:spacing w:before="120" w:after="120" w:line="240" w:lineRule="auto"/>
        <w:rPr>
          <w:rFonts w:eastAsia="Times New Roman" w:cstheme="minorHAnsi"/>
          <w:sz w:val="22"/>
          <w:lang w:val="en-AU" w:eastAsia="en-AU"/>
        </w:rPr>
      </w:pPr>
      <w:r w:rsidRPr="00175F16">
        <w:rPr>
          <w:rFonts w:eastAsia="Times New Roman" w:cstheme="minorHAnsi"/>
          <w:sz w:val="22"/>
          <w:lang w:val="en-AU" w:eastAsia="en-AU"/>
        </w:rPr>
        <w:t>providing timely and relevant information on hazards, traffic, weather and port conditions;</w:t>
      </w:r>
    </w:p>
    <w:p w14:paraId="5871AD3E" w14:textId="77777777" w:rsidR="00884712" w:rsidRPr="00175F16" w:rsidRDefault="00884712" w:rsidP="00DA78AB">
      <w:pPr>
        <w:numPr>
          <w:ilvl w:val="0"/>
          <w:numId w:val="25"/>
        </w:numPr>
        <w:spacing w:before="120" w:after="120" w:line="240" w:lineRule="auto"/>
        <w:rPr>
          <w:rFonts w:eastAsia="Times New Roman" w:cstheme="minorHAnsi"/>
          <w:sz w:val="22"/>
          <w:lang w:val="en-AU" w:eastAsia="en-AU"/>
        </w:rPr>
      </w:pPr>
      <w:r w:rsidRPr="00175F16">
        <w:rPr>
          <w:rFonts w:eastAsia="Times New Roman" w:cstheme="minorHAnsi"/>
          <w:sz w:val="22"/>
          <w:lang w:val="en-AU" w:eastAsia="en-AU"/>
        </w:rPr>
        <w:t>supporting the management of vessel traffic within the VTS area.</w:t>
      </w:r>
    </w:p>
    <w:p w14:paraId="1C10138B" w14:textId="77777777" w:rsidR="00884712" w:rsidRPr="00175F16" w:rsidRDefault="00884712" w:rsidP="00884712">
      <w:pPr>
        <w:spacing w:before="120" w:after="120" w:line="240" w:lineRule="auto"/>
        <w:rPr>
          <w:rFonts w:eastAsia="Times New Roman" w:cstheme="minorHAnsi"/>
          <w:sz w:val="22"/>
          <w:lang w:val="en-AU" w:eastAsia="en-AU"/>
        </w:rPr>
      </w:pPr>
      <w:r w:rsidRPr="00175F16">
        <w:rPr>
          <w:rFonts w:eastAsia="Times New Roman" w:cstheme="minorHAnsi"/>
          <w:sz w:val="22"/>
          <w:lang w:val="en-AU" w:eastAsia="en-AU"/>
        </w:rPr>
        <w:t>Contribution therefore reflects the functions and interventions delivered by VTS and how these support the broader safety and environmental framework.</w:t>
      </w:r>
    </w:p>
    <w:p w14:paraId="2FCA842E" w14:textId="77777777" w:rsidR="00884712" w:rsidRPr="00175F16" w:rsidRDefault="00884712" w:rsidP="00175F16">
      <w:pPr>
        <w:pStyle w:val="Heading2"/>
      </w:pPr>
      <w:bookmarkStart w:id="14" w:name="_Toc235197770"/>
      <w:bookmarkStart w:id="15" w:name="_Toc238036113"/>
      <w:r w:rsidRPr="00175F16">
        <w:lastRenderedPageBreak/>
        <w:t>Developing unsafe situations - Definition</w:t>
      </w:r>
      <w:bookmarkEnd w:id="14"/>
      <w:bookmarkEnd w:id="15"/>
    </w:p>
    <w:p w14:paraId="6051926F" w14:textId="77777777" w:rsidR="00884712" w:rsidRPr="00D65CD8" w:rsidRDefault="00884712" w:rsidP="00884712">
      <w:pPr>
        <w:spacing w:before="100" w:beforeAutospacing="1" w:after="100" w:afterAutospacing="1" w:line="240" w:lineRule="auto"/>
        <w:rPr>
          <w:rFonts w:eastAsia="Times New Roman" w:cstheme="minorHAnsi"/>
          <w:sz w:val="22"/>
          <w:lang w:val="en-AU" w:eastAsia="en-AU"/>
        </w:rPr>
      </w:pPr>
      <w:r w:rsidRPr="00D65CD8">
        <w:rPr>
          <w:rFonts w:eastAsia="Times New Roman" w:cstheme="minorHAnsi"/>
          <w:sz w:val="22"/>
          <w:lang w:val="en-AU" w:eastAsia="en-AU"/>
        </w:rPr>
        <w:t>A developing unsafe situation is a circumstance in which a vessel’s actions, position, condition or intentions indicate an increasing risk to navigational safety or protection of the environment. These situations may arise from vessel behaviour, equipment deficiencies, environmental conditions or operational factors, and may be observed by the VTS or reported by the vessel. A developing unsafe situation does not necessarily involve immediate danger, but represents a trend or condition that, if not mitigated, could lead to a casualty, incident or near miss.</w:t>
      </w:r>
    </w:p>
    <w:p w14:paraId="346B97D9" w14:textId="41144974" w:rsidR="00884712" w:rsidRPr="00D65CD8" w:rsidRDefault="00884712" w:rsidP="00884712">
      <w:pPr>
        <w:spacing w:before="100" w:beforeAutospacing="1" w:after="100" w:afterAutospacing="1" w:line="240" w:lineRule="auto"/>
        <w:rPr>
          <w:rFonts w:eastAsia="Times New Roman" w:cstheme="minorHAnsi"/>
          <w:sz w:val="22"/>
          <w:lang w:val="en-AU" w:eastAsia="en-AU"/>
        </w:rPr>
      </w:pPr>
      <w:r w:rsidRPr="00D65CD8">
        <w:rPr>
          <w:rFonts w:eastAsia="Times New Roman" w:cstheme="minorHAnsi"/>
          <w:sz w:val="22"/>
          <w:lang w:val="en-AU" w:eastAsia="en-AU"/>
        </w:rPr>
        <w:t xml:space="preserve">Developing unsafe situations are identified so that VTS can take timely action through the issue of advice, warnings or instructions, consistent with its </w:t>
      </w:r>
      <w:r w:rsidR="00175F16">
        <w:rPr>
          <w:rFonts w:eastAsia="Times New Roman" w:cstheme="minorHAnsi"/>
          <w:sz w:val="22"/>
          <w:lang w:val="en-AU" w:eastAsia="en-AU"/>
        </w:rPr>
        <w:t>purpose</w:t>
      </w:r>
      <w:r w:rsidRPr="00D65CD8">
        <w:rPr>
          <w:rFonts w:eastAsia="Times New Roman" w:cstheme="minorHAnsi"/>
          <w:sz w:val="22"/>
          <w:lang w:val="en-AU" w:eastAsia="en-AU"/>
        </w:rPr>
        <w:t>. The purpose of VTS interaction is to mitigate the situation and contribute to the protection of navigation and the marine environment.</w:t>
      </w:r>
    </w:p>
    <w:p w14:paraId="1EAD2C69" w14:textId="77777777" w:rsidR="00884712" w:rsidRPr="00D65CD8" w:rsidRDefault="00884712" w:rsidP="00884712">
      <w:pPr>
        <w:spacing w:before="100" w:beforeAutospacing="1" w:after="100" w:afterAutospacing="1" w:line="240" w:lineRule="auto"/>
        <w:rPr>
          <w:rFonts w:eastAsia="Times New Roman" w:cstheme="minorHAnsi"/>
          <w:sz w:val="22"/>
          <w:lang w:val="en-AU" w:eastAsia="en-AU"/>
        </w:rPr>
      </w:pPr>
      <w:r w:rsidRPr="00D65CD8">
        <w:rPr>
          <w:rFonts w:eastAsia="Times New Roman" w:cstheme="minorHAnsi"/>
          <w:sz w:val="22"/>
          <w:lang w:val="en-AU" w:eastAsia="en-AU"/>
        </w:rPr>
        <w:t>Examples of developing unsafe situations include, but are not limited to:</w:t>
      </w:r>
    </w:p>
    <w:p w14:paraId="748D840B" w14:textId="77777777" w:rsidR="00884712" w:rsidRPr="00D65CD8" w:rsidRDefault="00884712" w:rsidP="00DA78AB">
      <w:pPr>
        <w:pStyle w:val="ListParagraph"/>
        <w:numPr>
          <w:ilvl w:val="0"/>
          <w:numId w:val="41"/>
        </w:numPr>
        <w:spacing w:before="100" w:beforeAutospacing="1" w:after="100" w:afterAutospacing="1" w:line="240" w:lineRule="auto"/>
        <w:rPr>
          <w:rFonts w:eastAsia="Times New Roman" w:cstheme="minorHAnsi"/>
          <w:lang w:eastAsia="en-AU"/>
        </w:rPr>
      </w:pPr>
      <w:r w:rsidRPr="00D65CD8">
        <w:rPr>
          <w:rFonts w:eastAsia="Times New Roman" w:cstheme="minorHAnsi"/>
          <w:lang w:eastAsia="en-AU"/>
        </w:rPr>
        <w:t>ship unsure of its route or position</w:t>
      </w:r>
    </w:p>
    <w:p w14:paraId="740F9A45" w14:textId="77777777" w:rsidR="00884712" w:rsidRPr="00D65CD8" w:rsidRDefault="00884712" w:rsidP="00DA78AB">
      <w:pPr>
        <w:pStyle w:val="ListParagraph"/>
        <w:numPr>
          <w:ilvl w:val="0"/>
          <w:numId w:val="41"/>
        </w:numPr>
        <w:spacing w:before="100" w:beforeAutospacing="1" w:after="100" w:afterAutospacing="1" w:line="240" w:lineRule="auto"/>
        <w:rPr>
          <w:rFonts w:eastAsia="Times New Roman" w:cstheme="minorHAnsi"/>
          <w:lang w:eastAsia="en-AU"/>
        </w:rPr>
      </w:pPr>
      <w:r w:rsidRPr="00D65CD8">
        <w:rPr>
          <w:rFonts w:eastAsia="Times New Roman" w:cstheme="minorHAnsi"/>
          <w:lang w:eastAsia="en-AU"/>
        </w:rPr>
        <w:t>ship deviating from the planned route</w:t>
      </w:r>
    </w:p>
    <w:p w14:paraId="159E4813" w14:textId="77777777" w:rsidR="00884712" w:rsidRPr="00D65CD8" w:rsidRDefault="00884712" w:rsidP="00DA78AB">
      <w:pPr>
        <w:pStyle w:val="ListParagraph"/>
        <w:numPr>
          <w:ilvl w:val="0"/>
          <w:numId w:val="41"/>
        </w:numPr>
        <w:spacing w:before="100" w:beforeAutospacing="1" w:after="100" w:afterAutospacing="1" w:line="240" w:lineRule="auto"/>
        <w:rPr>
          <w:rFonts w:eastAsia="Times New Roman" w:cstheme="minorHAnsi"/>
          <w:lang w:eastAsia="en-AU"/>
        </w:rPr>
      </w:pPr>
      <w:r w:rsidRPr="00D65CD8">
        <w:rPr>
          <w:rFonts w:eastAsia="Times New Roman" w:cstheme="minorHAnsi"/>
          <w:lang w:eastAsia="en-AU"/>
        </w:rPr>
        <w:t>ship missing a critical waypoint</w:t>
      </w:r>
    </w:p>
    <w:p w14:paraId="743FAFE1" w14:textId="77777777" w:rsidR="00884712" w:rsidRPr="00D65CD8" w:rsidRDefault="00884712" w:rsidP="00DA78AB">
      <w:pPr>
        <w:pStyle w:val="ListParagraph"/>
        <w:numPr>
          <w:ilvl w:val="0"/>
          <w:numId w:val="41"/>
        </w:numPr>
        <w:spacing w:before="100" w:beforeAutospacing="1" w:after="100" w:afterAutospacing="1" w:line="240" w:lineRule="auto"/>
        <w:rPr>
          <w:rFonts w:eastAsia="Times New Roman" w:cstheme="minorHAnsi"/>
          <w:lang w:eastAsia="en-AU"/>
        </w:rPr>
      </w:pPr>
      <w:r w:rsidRPr="00D65CD8">
        <w:rPr>
          <w:rFonts w:eastAsia="Times New Roman" w:cstheme="minorHAnsi"/>
          <w:lang w:eastAsia="en-AU"/>
        </w:rPr>
        <w:t>ship requiring guidance to an anchoring position</w:t>
      </w:r>
    </w:p>
    <w:p w14:paraId="4A4B46AB" w14:textId="77777777" w:rsidR="00884712" w:rsidRPr="00D65CD8" w:rsidRDefault="00884712" w:rsidP="00DA78AB">
      <w:pPr>
        <w:pStyle w:val="ListParagraph"/>
        <w:numPr>
          <w:ilvl w:val="0"/>
          <w:numId w:val="41"/>
        </w:numPr>
        <w:spacing w:before="100" w:beforeAutospacing="1" w:after="100" w:afterAutospacing="1" w:line="240" w:lineRule="auto"/>
        <w:rPr>
          <w:rFonts w:eastAsia="Times New Roman" w:cstheme="minorHAnsi"/>
          <w:lang w:eastAsia="en-AU"/>
        </w:rPr>
      </w:pPr>
      <w:r w:rsidRPr="00D65CD8">
        <w:rPr>
          <w:rFonts w:eastAsia="Times New Roman" w:cstheme="minorHAnsi"/>
          <w:lang w:eastAsia="en-AU"/>
        </w:rPr>
        <w:t>ship experiencing defects or deficiencies (e.g., navigation or manoeuvring equipment failure)</w:t>
      </w:r>
    </w:p>
    <w:p w14:paraId="44E2F8BE" w14:textId="77777777" w:rsidR="00884712" w:rsidRPr="00D65CD8" w:rsidRDefault="00884712" w:rsidP="00DA78AB">
      <w:pPr>
        <w:pStyle w:val="ListParagraph"/>
        <w:numPr>
          <w:ilvl w:val="0"/>
          <w:numId w:val="41"/>
        </w:numPr>
        <w:spacing w:before="100" w:beforeAutospacing="1" w:after="100" w:afterAutospacing="1" w:line="240" w:lineRule="auto"/>
        <w:rPr>
          <w:rFonts w:eastAsia="Times New Roman" w:cstheme="minorHAnsi"/>
          <w:lang w:eastAsia="en-AU"/>
        </w:rPr>
      </w:pPr>
      <w:r w:rsidRPr="00D65CD8">
        <w:rPr>
          <w:rFonts w:eastAsia="Times New Roman" w:cstheme="minorHAnsi"/>
          <w:lang w:eastAsia="en-AU"/>
        </w:rPr>
        <w:t>ship at risk of grounding or collision</w:t>
      </w:r>
    </w:p>
    <w:p w14:paraId="526D7D12" w14:textId="77777777" w:rsidR="00884712" w:rsidRPr="00D65CD8" w:rsidRDefault="00884712" w:rsidP="00DA78AB">
      <w:pPr>
        <w:pStyle w:val="ListParagraph"/>
        <w:numPr>
          <w:ilvl w:val="0"/>
          <w:numId w:val="41"/>
        </w:numPr>
        <w:spacing w:before="100" w:beforeAutospacing="1" w:after="100" w:afterAutospacing="1" w:line="240" w:lineRule="auto"/>
        <w:rPr>
          <w:rFonts w:eastAsia="Times New Roman" w:cstheme="minorHAnsi"/>
          <w:lang w:eastAsia="en-AU"/>
        </w:rPr>
      </w:pPr>
      <w:r w:rsidRPr="00D65CD8">
        <w:rPr>
          <w:rFonts w:eastAsia="Times New Roman" w:cstheme="minorHAnsi"/>
          <w:lang w:eastAsia="en-AU"/>
        </w:rPr>
        <w:t>emergency response or support to emergency services</w:t>
      </w:r>
    </w:p>
    <w:p w14:paraId="4D63F288" w14:textId="77777777" w:rsidR="00884712" w:rsidRDefault="00884712" w:rsidP="00884712">
      <w:pPr>
        <w:spacing w:before="100" w:beforeAutospacing="1" w:after="100" w:afterAutospacing="1" w:line="240" w:lineRule="auto"/>
        <w:rPr>
          <w:rFonts w:eastAsia="Times New Roman" w:cstheme="minorHAnsi"/>
          <w:sz w:val="22"/>
          <w:lang w:val="en-AU" w:eastAsia="en-AU"/>
        </w:rPr>
      </w:pPr>
      <w:r w:rsidRPr="00D65CD8">
        <w:rPr>
          <w:rFonts w:eastAsia="Times New Roman" w:cstheme="minorHAnsi"/>
          <w:sz w:val="22"/>
          <w:lang w:val="en-AU" w:eastAsia="en-AU"/>
        </w:rPr>
        <w:t>A single event may involve multiple related developing unsafe situations. For example, a vessel deviating from its planned route may subsequently be identified as missing a waypoint and later require guidance to avoid a potential grounding. Each situation should be recorded to reflect the full sequence of events and the associated VTS interactions</w:t>
      </w:r>
    </w:p>
    <w:p w14:paraId="0E5C20D4" w14:textId="77777777" w:rsidR="00884712" w:rsidRDefault="00884712" w:rsidP="00175F16">
      <w:pPr>
        <w:pStyle w:val="Heading2"/>
      </w:pPr>
      <w:bookmarkStart w:id="16" w:name="_Toc235197771"/>
      <w:bookmarkStart w:id="17" w:name="_Toc238036114"/>
      <w:r w:rsidRPr="00175F16">
        <w:t>Challenges</w:t>
      </w:r>
      <w:bookmarkEnd w:id="16"/>
      <w:bookmarkEnd w:id="17"/>
    </w:p>
    <w:p w14:paraId="7F641B2F" w14:textId="30A75F12" w:rsidR="00884712" w:rsidRDefault="00884712" w:rsidP="00884712">
      <w:pPr>
        <w:spacing w:before="120" w:after="120" w:line="240" w:lineRule="auto"/>
        <w:rPr>
          <w:rFonts w:eastAsia="Times New Roman" w:cstheme="minorHAnsi"/>
          <w:sz w:val="22"/>
          <w:lang w:val="en-AU" w:eastAsia="en-AU"/>
        </w:rPr>
      </w:pPr>
      <w:r w:rsidRPr="00F17C75">
        <w:rPr>
          <w:rFonts w:eastAsia="Times New Roman" w:cstheme="minorHAnsi"/>
          <w:sz w:val="22"/>
          <w:lang w:val="en-AU" w:eastAsia="en-AU"/>
        </w:rPr>
        <w:t>Th</w:t>
      </w:r>
      <w:r w:rsidR="00060005">
        <w:rPr>
          <w:rFonts w:eastAsia="Times New Roman" w:cstheme="minorHAnsi"/>
          <w:sz w:val="22"/>
          <w:lang w:val="en-AU" w:eastAsia="en-AU"/>
        </w:rPr>
        <w:t xml:space="preserve">ere are several </w:t>
      </w:r>
      <w:r w:rsidRPr="00F17C75">
        <w:rPr>
          <w:rFonts w:eastAsia="Times New Roman" w:cstheme="minorHAnsi"/>
          <w:sz w:val="22"/>
          <w:lang w:val="en-AU" w:eastAsia="en-AU"/>
        </w:rPr>
        <w:t>practical and analytical challenges that may arise when applying the methodology, including data availability, categorisation consistency, and interpretation of near miss events</w:t>
      </w:r>
      <w:r w:rsidRPr="001B3701">
        <w:rPr>
          <w:rFonts w:eastAsia="Times New Roman" w:cstheme="minorHAnsi"/>
          <w:sz w:val="22"/>
          <w:lang w:val="en-AU" w:eastAsia="en-AU"/>
        </w:rPr>
        <w:t>.</w:t>
      </w:r>
    </w:p>
    <w:p w14:paraId="4BAADD74" w14:textId="19DCC6BB" w:rsidR="00DE586D" w:rsidRDefault="00884712" w:rsidP="00DE586D">
      <w:pPr>
        <w:spacing w:before="120" w:after="120" w:line="240" w:lineRule="auto"/>
        <w:rPr>
          <w:rFonts w:eastAsia="Times New Roman" w:cstheme="minorHAnsi"/>
          <w:sz w:val="22"/>
          <w:lang w:val="en-AU" w:eastAsia="en-AU"/>
        </w:rPr>
      </w:pPr>
      <w:r w:rsidRPr="009E00ED">
        <w:rPr>
          <w:rFonts w:eastAsia="Times New Roman" w:cstheme="minorHAnsi"/>
          <w:sz w:val="22"/>
          <w:lang w:val="en-AU" w:eastAsia="en-AU"/>
        </w:rPr>
        <w:t>Quantifying the contribution of VTS is challenging</w:t>
      </w:r>
      <w:r w:rsidR="00DE586D">
        <w:rPr>
          <w:rFonts w:eastAsia="Times New Roman" w:cstheme="minorHAnsi"/>
          <w:sz w:val="22"/>
          <w:lang w:val="en-AU" w:eastAsia="en-AU"/>
        </w:rPr>
        <w:t xml:space="preserve"> </w:t>
      </w:r>
      <w:r w:rsidR="00DE586D" w:rsidRPr="00DE586D">
        <w:rPr>
          <w:rFonts w:eastAsia="Times New Roman" w:cstheme="minorHAnsi"/>
          <w:sz w:val="22"/>
          <w:lang w:val="en-AU" w:eastAsia="en-AU"/>
        </w:rPr>
        <w:t>because maritime safety outcomes are influenced by multiple interacting factors, including traffic patterns, vessel behaviour, environmental conditions, pilotage, routeing measures, aids to navigation and local procedures.</w:t>
      </w:r>
    </w:p>
    <w:p w14:paraId="3E73E6CA" w14:textId="582F9955" w:rsidR="00884712" w:rsidRPr="00AD32F7" w:rsidRDefault="005F0D7A" w:rsidP="00AC1DCE">
      <w:pPr>
        <w:spacing w:before="120" w:after="120" w:line="240" w:lineRule="auto"/>
        <w:rPr>
          <w:rFonts w:eastAsia="Times New Roman" w:cstheme="minorHAnsi"/>
          <w:sz w:val="22"/>
          <w:lang w:val="en-AU" w:eastAsia="en-AU"/>
        </w:rPr>
      </w:pPr>
      <w:r w:rsidRPr="009177FF">
        <w:rPr>
          <w:rFonts w:eastAsia="Times New Roman" w:cstheme="minorHAnsi"/>
          <w:sz w:val="22"/>
          <w:lang w:val="en-AU" w:eastAsia="en-AU"/>
        </w:rPr>
        <w:t>For this reason, there is no single agreed quantitative methodology for isolating and measuring VTS contribution across all operational contexts. The methodology therefore uses structured data, qualitative evidence, incident reports and selected performance indicators to support consistent interpretation</w:t>
      </w:r>
      <w:r w:rsidR="00884712" w:rsidRPr="009E00ED">
        <w:rPr>
          <w:rFonts w:eastAsia="Times New Roman" w:cstheme="minorHAnsi"/>
          <w:sz w:val="22"/>
          <w:lang w:val="en-AU" w:eastAsia="en-AU"/>
        </w:rPr>
        <w:t>. Processes and procedures should take account of the inherent challenges described below.</w:t>
      </w:r>
    </w:p>
    <w:p w14:paraId="7F69B204" w14:textId="77777777" w:rsidR="00884712" w:rsidRPr="00AD32F7" w:rsidRDefault="00884712" w:rsidP="00884712">
      <w:pPr>
        <w:spacing w:before="120" w:after="120" w:line="240" w:lineRule="auto"/>
        <w:ind w:left="360"/>
        <w:rPr>
          <w:rFonts w:eastAsia="Times New Roman" w:cstheme="minorHAnsi"/>
          <w:b/>
          <w:bCs/>
          <w:sz w:val="22"/>
          <w:lang w:val="en-AU" w:eastAsia="en-AU"/>
        </w:rPr>
      </w:pPr>
      <w:r w:rsidRPr="00AD32F7">
        <w:rPr>
          <w:rFonts w:eastAsia="Times New Roman" w:cstheme="minorHAnsi"/>
          <w:b/>
          <w:bCs/>
          <w:sz w:val="22"/>
          <w:lang w:val="en-AU" w:eastAsia="en-AU"/>
        </w:rPr>
        <w:t>1. Complexity of Maritime Operations</w:t>
      </w:r>
    </w:p>
    <w:p w14:paraId="14DF2D1B" w14:textId="77777777" w:rsidR="00884712" w:rsidRPr="00F714CC" w:rsidRDefault="00884712" w:rsidP="00DA78AB">
      <w:pPr>
        <w:pStyle w:val="ListParagraph"/>
        <w:numPr>
          <w:ilvl w:val="0"/>
          <w:numId w:val="39"/>
        </w:numPr>
        <w:spacing w:before="120" w:after="120" w:line="240" w:lineRule="auto"/>
        <w:contextualSpacing w:val="0"/>
        <w:rPr>
          <w:rFonts w:eastAsia="Times New Roman" w:cstheme="minorHAnsi"/>
          <w:lang w:eastAsia="en-AU"/>
        </w:rPr>
      </w:pPr>
      <w:r w:rsidRPr="00F714CC">
        <w:rPr>
          <w:rFonts w:eastAsia="Times New Roman" w:cstheme="minorHAnsi"/>
          <w:b/>
          <w:bCs/>
          <w:lang w:eastAsia="en-AU"/>
        </w:rPr>
        <w:t>Multiple variables</w:t>
      </w:r>
      <w:r w:rsidRPr="00F714CC">
        <w:rPr>
          <w:rFonts w:eastAsia="Times New Roman" w:cstheme="minorHAnsi"/>
          <w:lang w:eastAsia="en-AU"/>
        </w:rPr>
        <w:t>: VTS supports vessel safety and environmental protection, each influenced by external factors such as weather, crew competency and local hazards.</w:t>
      </w:r>
    </w:p>
    <w:p w14:paraId="50D21CC8" w14:textId="77777777" w:rsidR="00884712" w:rsidRPr="00F714CC" w:rsidRDefault="00884712" w:rsidP="00DA78AB">
      <w:pPr>
        <w:pStyle w:val="ListParagraph"/>
        <w:numPr>
          <w:ilvl w:val="0"/>
          <w:numId w:val="39"/>
        </w:numPr>
        <w:spacing w:before="120" w:after="120" w:line="240" w:lineRule="auto"/>
        <w:contextualSpacing w:val="0"/>
        <w:rPr>
          <w:rFonts w:eastAsia="Times New Roman" w:cstheme="minorHAnsi"/>
          <w:lang w:eastAsia="en-AU"/>
        </w:rPr>
      </w:pPr>
      <w:r w:rsidRPr="00F714CC">
        <w:rPr>
          <w:rFonts w:eastAsia="Times New Roman" w:cstheme="minorHAnsi"/>
          <w:b/>
          <w:bCs/>
          <w:lang w:eastAsia="en-AU"/>
        </w:rPr>
        <w:t>Dynamic conditions</w:t>
      </w:r>
      <w:r w:rsidRPr="00F714CC">
        <w:rPr>
          <w:rFonts w:eastAsia="Times New Roman" w:cstheme="minorHAnsi"/>
          <w:lang w:eastAsia="en-AU"/>
        </w:rPr>
        <w:t>: Maritime traffic and operating environments change continuously, making it difficult to isolate the specific contribution of VTS.</w:t>
      </w:r>
    </w:p>
    <w:p w14:paraId="27A6F26F" w14:textId="77777777" w:rsidR="00884712" w:rsidRPr="00F714CC" w:rsidRDefault="00884712" w:rsidP="00884712">
      <w:pPr>
        <w:spacing w:before="120" w:after="120" w:line="240" w:lineRule="auto"/>
        <w:ind w:left="360"/>
        <w:rPr>
          <w:rFonts w:eastAsia="Times New Roman" w:cstheme="minorHAnsi"/>
          <w:b/>
          <w:bCs/>
          <w:sz w:val="22"/>
          <w:lang w:val="en-AU" w:eastAsia="en-AU"/>
        </w:rPr>
      </w:pPr>
      <w:r w:rsidRPr="00F714CC">
        <w:rPr>
          <w:rFonts w:eastAsia="Times New Roman" w:cstheme="minorHAnsi"/>
          <w:b/>
          <w:bCs/>
          <w:sz w:val="22"/>
          <w:lang w:val="en-AU" w:eastAsia="en-AU"/>
        </w:rPr>
        <w:t>2. Difficulties in Defining Success</w:t>
      </w:r>
    </w:p>
    <w:p w14:paraId="4AAF54A1" w14:textId="77777777" w:rsidR="00884712" w:rsidRPr="0002316A"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02316A">
        <w:rPr>
          <w:rFonts w:eastAsia="Times New Roman" w:cstheme="minorHAnsi"/>
          <w:b/>
          <w:bCs/>
          <w:lang w:eastAsia="en-AU"/>
        </w:rPr>
        <w:t>Diverse metrics</w:t>
      </w:r>
      <w:r w:rsidRPr="0002316A">
        <w:rPr>
          <w:rFonts w:eastAsia="Times New Roman" w:cstheme="minorHAnsi"/>
          <w:lang w:eastAsia="en-AU"/>
        </w:rPr>
        <w:t>: Contribution may be reflected through reduced incidents, effective interaction or improved situational awareness.</w:t>
      </w:r>
    </w:p>
    <w:p w14:paraId="434E8931" w14:textId="77777777" w:rsidR="00884712" w:rsidRPr="0002316A"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02316A">
        <w:rPr>
          <w:rFonts w:eastAsia="Times New Roman" w:cstheme="minorHAnsi"/>
          <w:b/>
          <w:bCs/>
          <w:lang w:eastAsia="en-AU"/>
        </w:rPr>
        <w:t>Indirect outcomes</w:t>
      </w:r>
      <w:r w:rsidRPr="0002316A">
        <w:rPr>
          <w:rFonts w:eastAsia="Times New Roman" w:cstheme="minorHAnsi"/>
          <w:lang w:eastAsia="en-AU"/>
        </w:rPr>
        <w:t>: Many benefits of VTS are preventive and may not be directly observable, limiting measurable data.</w:t>
      </w:r>
    </w:p>
    <w:p w14:paraId="36F1FB70" w14:textId="77777777" w:rsidR="00884712" w:rsidRPr="00F714CC" w:rsidRDefault="00884712" w:rsidP="00884712">
      <w:pPr>
        <w:spacing w:before="120" w:after="120" w:line="240" w:lineRule="auto"/>
        <w:ind w:left="360"/>
        <w:rPr>
          <w:rFonts w:eastAsia="Times New Roman" w:cstheme="minorHAnsi"/>
          <w:b/>
          <w:bCs/>
          <w:sz w:val="22"/>
          <w:lang w:val="en-AU" w:eastAsia="en-AU"/>
        </w:rPr>
      </w:pPr>
      <w:r w:rsidRPr="00F714CC">
        <w:rPr>
          <w:rFonts w:eastAsia="Times New Roman" w:cstheme="minorHAnsi"/>
          <w:b/>
          <w:bCs/>
          <w:sz w:val="22"/>
          <w:lang w:val="en-AU" w:eastAsia="en-AU"/>
        </w:rPr>
        <w:lastRenderedPageBreak/>
        <w:t>3. Data Availability and Quality</w:t>
      </w:r>
    </w:p>
    <w:p w14:paraId="7C47BAF8" w14:textId="77777777" w:rsidR="00884712" w:rsidRPr="00F714CC" w:rsidRDefault="00884712" w:rsidP="00DA78AB">
      <w:pPr>
        <w:pStyle w:val="ListParagraph"/>
        <w:numPr>
          <w:ilvl w:val="0"/>
          <w:numId w:val="40"/>
        </w:numPr>
        <w:spacing w:before="120" w:after="120" w:line="240" w:lineRule="auto"/>
        <w:contextualSpacing w:val="0"/>
        <w:rPr>
          <w:rFonts w:eastAsia="Times New Roman" w:cstheme="minorHAnsi"/>
          <w:lang w:eastAsia="en-AU"/>
        </w:rPr>
      </w:pPr>
      <w:r w:rsidRPr="00F714CC">
        <w:rPr>
          <w:rFonts w:eastAsia="Times New Roman" w:cstheme="minorHAnsi"/>
          <w:b/>
          <w:bCs/>
          <w:lang w:eastAsia="en-AU"/>
        </w:rPr>
        <w:t>Limited access</w:t>
      </w:r>
      <w:r w:rsidRPr="00F714CC">
        <w:rPr>
          <w:rFonts w:eastAsia="Times New Roman" w:cstheme="minorHAnsi"/>
          <w:lang w:eastAsia="en-AU"/>
        </w:rPr>
        <w:t>: High</w:t>
      </w:r>
      <w:r w:rsidRPr="00F714CC">
        <w:rPr>
          <w:rFonts w:ascii="Cambria Math" w:eastAsia="Times New Roman" w:hAnsi="Cambria Math" w:cs="Cambria Math"/>
          <w:lang w:eastAsia="en-AU"/>
        </w:rPr>
        <w:t>‑</w:t>
      </w:r>
      <w:r w:rsidRPr="00F714CC">
        <w:rPr>
          <w:rFonts w:eastAsia="Times New Roman" w:cstheme="minorHAnsi"/>
          <w:lang w:eastAsia="en-AU"/>
        </w:rPr>
        <w:t>quality operational data may not be consistently available, particularly where VTS capability is developing.</w:t>
      </w:r>
    </w:p>
    <w:p w14:paraId="66DCC0A4" w14:textId="77777777" w:rsidR="00884712" w:rsidRPr="00F714CC" w:rsidRDefault="00884712" w:rsidP="00DA78AB">
      <w:pPr>
        <w:pStyle w:val="ListParagraph"/>
        <w:numPr>
          <w:ilvl w:val="0"/>
          <w:numId w:val="40"/>
        </w:numPr>
        <w:spacing w:before="120" w:after="120" w:line="240" w:lineRule="auto"/>
        <w:contextualSpacing w:val="0"/>
        <w:rPr>
          <w:rFonts w:eastAsia="Times New Roman" w:cstheme="minorHAnsi"/>
          <w:lang w:eastAsia="en-AU"/>
        </w:rPr>
      </w:pPr>
      <w:r w:rsidRPr="00F714CC">
        <w:rPr>
          <w:rFonts w:eastAsia="Times New Roman" w:cstheme="minorHAnsi"/>
          <w:b/>
          <w:bCs/>
          <w:lang w:eastAsia="en-AU"/>
        </w:rPr>
        <w:t>Context gaps</w:t>
      </w:r>
      <w:r w:rsidRPr="00F714CC">
        <w:rPr>
          <w:rFonts w:eastAsia="Times New Roman" w:cstheme="minorHAnsi"/>
          <w:lang w:eastAsia="en-AU"/>
        </w:rPr>
        <w:t>: Movement data alone may not capture causal factors, making long</w:t>
      </w:r>
      <w:r w:rsidRPr="00F714CC">
        <w:rPr>
          <w:rFonts w:ascii="Cambria Math" w:eastAsia="Times New Roman" w:hAnsi="Cambria Math" w:cs="Cambria Math"/>
          <w:lang w:eastAsia="en-AU"/>
        </w:rPr>
        <w:t>‑</w:t>
      </w:r>
      <w:r w:rsidRPr="00F714CC">
        <w:rPr>
          <w:rFonts w:eastAsia="Times New Roman" w:cstheme="minorHAnsi"/>
          <w:lang w:eastAsia="en-AU"/>
        </w:rPr>
        <w:t>term correlations difficult.</w:t>
      </w:r>
    </w:p>
    <w:p w14:paraId="3DD739DB" w14:textId="77777777" w:rsidR="00884712" w:rsidRPr="00B12141" w:rsidRDefault="00884712" w:rsidP="00884712">
      <w:pPr>
        <w:spacing w:before="120" w:after="120" w:line="240" w:lineRule="auto"/>
        <w:ind w:left="360"/>
        <w:rPr>
          <w:rFonts w:eastAsia="Times New Roman" w:cstheme="minorHAnsi"/>
          <w:b/>
          <w:bCs/>
          <w:sz w:val="22"/>
          <w:lang w:val="en-AU" w:eastAsia="en-AU"/>
        </w:rPr>
      </w:pPr>
      <w:r w:rsidRPr="00B12141">
        <w:rPr>
          <w:rFonts w:eastAsia="Times New Roman" w:cstheme="minorHAnsi"/>
          <w:b/>
          <w:bCs/>
          <w:sz w:val="22"/>
          <w:lang w:val="en-AU" w:eastAsia="en-AU"/>
        </w:rPr>
        <w:t>4. Causality and External Factors</w:t>
      </w:r>
    </w:p>
    <w:p w14:paraId="04D35E14" w14:textId="77777777" w:rsidR="00884712" w:rsidRPr="00B12141"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454CEC">
        <w:rPr>
          <w:rFonts w:eastAsia="Times New Roman" w:cstheme="minorHAnsi"/>
          <w:b/>
          <w:bCs/>
          <w:lang w:eastAsia="en-AU"/>
        </w:rPr>
        <w:t>Attribution challenges</w:t>
      </w:r>
      <w:r w:rsidRPr="00B12141">
        <w:rPr>
          <w:rFonts w:eastAsia="Times New Roman" w:cstheme="minorHAnsi"/>
          <w:lang w:eastAsia="en-AU"/>
        </w:rPr>
        <w:t>: Improvements may result from multiple influences, making it difficult to attribute outcomes solely to VTS.</w:t>
      </w:r>
    </w:p>
    <w:p w14:paraId="3BCCDEBC" w14:textId="77777777" w:rsidR="00884712" w:rsidRPr="00B12141"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454CEC">
        <w:rPr>
          <w:rFonts w:eastAsia="Times New Roman" w:cstheme="minorHAnsi"/>
          <w:b/>
          <w:bCs/>
          <w:lang w:eastAsia="en-AU"/>
        </w:rPr>
        <w:t>Non</w:t>
      </w:r>
      <w:r w:rsidRPr="00454CEC">
        <w:rPr>
          <w:rFonts w:ascii="Cambria Math" w:eastAsia="Times New Roman" w:hAnsi="Cambria Math" w:cs="Cambria Math"/>
          <w:b/>
          <w:bCs/>
          <w:lang w:eastAsia="en-AU"/>
        </w:rPr>
        <w:t>‑</w:t>
      </w:r>
      <w:r w:rsidRPr="00454CEC">
        <w:rPr>
          <w:rFonts w:eastAsia="Times New Roman" w:cstheme="minorHAnsi"/>
          <w:b/>
          <w:bCs/>
          <w:lang w:eastAsia="en-AU"/>
        </w:rPr>
        <w:t>VTS influences</w:t>
      </w:r>
      <w:r w:rsidRPr="00B12141">
        <w:rPr>
          <w:rFonts w:eastAsia="Times New Roman" w:cstheme="minorHAnsi"/>
          <w:lang w:eastAsia="en-AU"/>
        </w:rPr>
        <w:t>: Broader industry changes may overshadow VTS contribution.</w:t>
      </w:r>
    </w:p>
    <w:p w14:paraId="3D89B85A" w14:textId="77777777" w:rsidR="00884712" w:rsidRPr="00B12141" w:rsidRDefault="00884712" w:rsidP="00884712">
      <w:pPr>
        <w:spacing w:before="120" w:after="120" w:line="240" w:lineRule="auto"/>
        <w:ind w:left="360"/>
        <w:rPr>
          <w:rFonts w:eastAsia="Times New Roman" w:cstheme="minorHAnsi"/>
          <w:b/>
          <w:bCs/>
          <w:sz w:val="22"/>
          <w:lang w:val="en-AU" w:eastAsia="en-AU"/>
        </w:rPr>
      </w:pPr>
      <w:r w:rsidRPr="00B12141">
        <w:rPr>
          <w:rFonts w:eastAsia="Times New Roman" w:cstheme="minorHAnsi"/>
          <w:b/>
          <w:bCs/>
          <w:sz w:val="22"/>
          <w:lang w:val="en-AU" w:eastAsia="en-AU"/>
        </w:rPr>
        <w:t>5. Lack of Standardised Metrics</w:t>
      </w:r>
    </w:p>
    <w:p w14:paraId="6772174E" w14:textId="77777777" w:rsidR="00884712" w:rsidRPr="00454CEC"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454CEC">
        <w:rPr>
          <w:rFonts w:eastAsia="Times New Roman" w:cstheme="minorHAnsi"/>
          <w:b/>
          <w:bCs/>
          <w:lang w:eastAsia="en-AU"/>
        </w:rPr>
        <w:t>No universal benchmark:</w:t>
      </w:r>
      <w:r w:rsidRPr="00454CEC">
        <w:rPr>
          <w:rFonts w:eastAsia="Times New Roman" w:cstheme="minorHAnsi"/>
          <w:lang w:eastAsia="en-AU"/>
        </w:rPr>
        <w:t xml:space="preserve"> There is no globally accepted set of metrics for assessing VTS contribution.</w:t>
      </w:r>
    </w:p>
    <w:p w14:paraId="1EF4F789" w14:textId="77777777" w:rsidR="00884712" w:rsidRPr="00454CEC"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454CEC">
        <w:rPr>
          <w:rFonts w:eastAsia="Times New Roman" w:cstheme="minorHAnsi"/>
          <w:b/>
          <w:bCs/>
          <w:lang w:eastAsia="en-AU"/>
        </w:rPr>
        <w:t>Regional variation:</w:t>
      </w:r>
      <w:r w:rsidRPr="00454CEC">
        <w:rPr>
          <w:rFonts w:eastAsia="Times New Roman" w:cstheme="minorHAnsi"/>
          <w:lang w:eastAsia="en-AU"/>
        </w:rPr>
        <w:t xml:space="preserve"> Differences in local conditions and objectives limit comparability.</w:t>
      </w:r>
    </w:p>
    <w:p w14:paraId="36C90156" w14:textId="77777777" w:rsidR="00884712" w:rsidRPr="00B12141" w:rsidRDefault="00884712" w:rsidP="00884712">
      <w:pPr>
        <w:spacing w:before="120" w:after="120" w:line="240" w:lineRule="auto"/>
        <w:ind w:left="360"/>
        <w:rPr>
          <w:rFonts w:eastAsia="Times New Roman" w:cstheme="minorHAnsi"/>
          <w:b/>
          <w:bCs/>
          <w:sz w:val="22"/>
          <w:lang w:val="en-AU" w:eastAsia="en-AU"/>
        </w:rPr>
      </w:pPr>
      <w:r w:rsidRPr="00B12141">
        <w:rPr>
          <w:rFonts w:eastAsia="Times New Roman" w:cstheme="minorHAnsi"/>
          <w:b/>
          <w:bCs/>
          <w:sz w:val="22"/>
          <w:lang w:val="en-AU" w:eastAsia="en-AU"/>
        </w:rPr>
        <w:t>6. Human Factors</w:t>
      </w:r>
    </w:p>
    <w:p w14:paraId="58450D6B" w14:textId="77777777" w:rsidR="00884712" w:rsidRPr="00454CEC"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454CEC">
        <w:rPr>
          <w:rFonts w:eastAsia="Times New Roman" w:cstheme="minorHAnsi"/>
          <w:b/>
          <w:bCs/>
          <w:lang w:eastAsia="en-AU"/>
        </w:rPr>
        <w:t>Operational variability</w:t>
      </w:r>
      <w:r w:rsidRPr="00454CEC">
        <w:rPr>
          <w:rFonts w:eastAsia="Times New Roman" w:cstheme="minorHAnsi"/>
          <w:lang w:eastAsia="en-AU"/>
        </w:rPr>
        <w:t>: VTS contribution often depends on human decision</w:t>
      </w:r>
      <w:r w:rsidRPr="00454CEC">
        <w:rPr>
          <w:rFonts w:ascii="Cambria Math" w:eastAsia="Times New Roman" w:hAnsi="Cambria Math" w:cs="Cambria Math"/>
          <w:lang w:eastAsia="en-AU"/>
        </w:rPr>
        <w:t>‑</w:t>
      </w:r>
      <w:r w:rsidRPr="00454CEC">
        <w:rPr>
          <w:rFonts w:eastAsia="Times New Roman" w:cstheme="minorHAnsi"/>
          <w:lang w:eastAsia="en-AU"/>
        </w:rPr>
        <w:t>making, which varies with training and experience.</w:t>
      </w:r>
    </w:p>
    <w:p w14:paraId="6C209F28" w14:textId="77777777" w:rsidR="00884712" w:rsidRPr="00454CEC"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454CEC">
        <w:rPr>
          <w:rFonts w:eastAsia="Times New Roman" w:cstheme="minorHAnsi"/>
          <w:b/>
          <w:bCs/>
          <w:lang w:eastAsia="en-AU"/>
        </w:rPr>
        <w:t>Subjective assessments</w:t>
      </w:r>
      <w:r w:rsidRPr="00454CEC">
        <w:rPr>
          <w:rFonts w:eastAsia="Times New Roman" w:cstheme="minorHAnsi"/>
          <w:lang w:eastAsia="en-AU"/>
        </w:rPr>
        <w:t>: Evaluations may rely on subjective interpretation, introducing potential bias.</w:t>
      </w:r>
    </w:p>
    <w:p w14:paraId="3A86A0D7" w14:textId="77777777" w:rsidR="00884712" w:rsidRPr="00B12141" w:rsidRDefault="00884712" w:rsidP="00884712">
      <w:pPr>
        <w:spacing w:before="120" w:after="120" w:line="240" w:lineRule="auto"/>
        <w:ind w:left="360"/>
        <w:rPr>
          <w:rFonts w:eastAsia="Times New Roman" w:cstheme="minorHAnsi"/>
          <w:b/>
          <w:bCs/>
          <w:sz w:val="22"/>
          <w:lang w:val="en-AU" w:eastAsia="en-AU"/>
        </w:rPr>
      </w:pPr>
      <w:r w:rsidRPr="00B12141">
        <w:rPr>
          <w:rFonts w:eastAsia="Times New Roman" w:cstheme="minorHAnsi"/>
          <w:b/>
          <w:bCs/>
          <w:sz w:val="22"/>
          <w:lang w:val="en-AU" w:eastAsia="en-AU"/>
        </w:rPr>
        <w:t>7. Emerging Technologies and Change</w:t>
      </w:r>
    </w:p>
    <w:p w14:paraId="59D533BE" w14:textId="77777777" w:rsidR="00884712" w:rsidRPr="00454CEC"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454CEC">
        <w:rPr>
          <w:rFonts w:eastAsia="Times New Roman" w:cstheme="minorHAnsi"/>
          <w:b/>
          <w:bCs/>
          <w:lang w:eastAsia="en-AU"/>
        </w:rPr>
        <w:t>New capabilities:</w:t>
      </w:r>
      <w:r w:rsidRPr="00454CEC">
        <w:rPr>
          <w:rFonts w:eastAsia="Times New Roman" w:cstheme="minorHAnsi"/>
          <w:lang w:eastAsia="en-AU"/>
        </w:rPr>
        <w:t xml:space="preserve"> Technologies such as autonomous vessels may alter VTS roles.</w:t>
      </w:r>
    </w:p>
    <w:p w14:paraId="632EDF7B" w14:textId="77777777" w:rsidR="00884712" w:rsidRPr="00454CEC"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454CEC">
        <w:rPr>
          <w:rFonts w:eastAsia="Times New Roman" w:cstheme="minorHAnsi"/>
          <w:b/>
          <w:bCs/>
          <w:lang w:eastAsia="en-AU"/>
        </w:rPr>
        <w:t>Uncertain impacts:</w:t>
      </w:r>
      <w:r w:rsidRPr="00454CEC">
        <w:rPr>
          <w:rFonts w:eastAsia="Times New Roman" w:cstheme="minorHAnsi"/>
          <w:lang w:eastAsia="en-AU"/>
        </w:rPr>
        <w:t xml:space="preserve"> Effects may not be immediately measurable.</w:t>
      </w:r>
    </w:p>
    <w:p w14:paraId="18405B43" w14:textId="77777777" w:rsidR="00884712" w:rsidRPr="00454CEC" w:rsidRDefault="00884712" w:rsidP="00884712">
      <w:pPr>
        <w:spacing w:before="120" w:after="120" w:line="240" w:lineRule="auto"/>
        <w:rPr>
          <w:rFonts w:eastAsia="Times New Roman" w:cstheme="minorHAnsi"/>
          <w:sz w:val="22"/>
          <w:lang w:val="en-AU" w:eastAsia="en-AU"/>
        </w:rPr>
      </w:pPr>
      <w:r w:rsidRPr="00454CEC">
        <w:rPr>
          <w:rFonts w:eastAsia="Times New Roman" w:cstheme="minorHAnsi"/>
          <w:sz w:val="22"/>
          <w:lang w:val="en-AU" w:eastAsia="en-AU"/>
        </w:rPr>
        <w:t>These challenges underline the importance of adopting a practical and consistent methodology that enables VTS centres to demonstrate their contribution despite the inherent complexities of maritime operations.</w:t>
      </w:r>
    </w:p>
    <w:p w14:paraId="77F9CA31" w14:textId="77777777" w:rsidR="00884712" w:rsidRPr="00175F16" w:rsidRDefault="00884712" w:rsidP="00175F16">
      <w:pPr>
        <w:pStyle w:val="Heading2"/>
      </w:pPr>
      <w:bookmarkStart w:id="18" w:name="_Toc235197772"/>
      <w:bookmarkStart w:id="19" w:name="_Toc238036115"/>
      <w:r w:rsidRPr="00175F16">
        <w:t>Key principles</w:t>
      </w:r>
      <w:bookmarkEnd w:id="18"/>
      <w:bookmarkEnd w:id="19"/>
    </w:p>
    <w:p w14:paraId="2EDEACD4" w14:textId="4086B49A" w:rsidR="007038CF" w:rsidRPr="00E561D8" w:rsidRDefault="00884712" w:rsidP="00884712">
      <w:pPr>
        <w:spacing w:before="100" w:beforeAutospacing="1" w:after="100" w:afterAutospacing="1" w:line="240" w:lineRule="auto"/>
        <w:rPr>
          <w:rFonts w:eastAsia="Times New Roman" w:cstheme="minorHAnsi"/>
          <w:sz w:val="22"/>
          <w:lang w:val="en-AU" w:eastAsia="en-AU"/>
        </w:rPr>
      </w:pPr>
      <w:r w:rsidRPr="00E561D8">
        <w:rPr>
          <w:rFonts w:eastAsia="Times New Roman" w:cstheme="minorHAnsi"/>
          <w:sz w:val="22"/>
          <w:lang w:val="en-AU" w:eastAsia="en-AU"/>
        </w:rPr>
        <w:t>The methodology is based on several key principles that support consistent recording, interpretation and communication of VTS contribution within an integrated system of safety and environmental measures.</w:t>
      </w:r>
    </w:p>
    <w:p w14:paraId="7EE86C74" w14:textId="77777777" w:rsidR="00884712" w:rsidRPr="00E561D8" w:rsidRDefault="00884712" w:rsidP="00884712">
      <w:pPr>
        <w:spacing w:before="120" w:after="120" w:line="240" w:lineRule="auto"/>
        <w:ind w:left="360"/>
        <w:rPr>
          <w:rFonts w:eastAsia="Times New Roman" w:cstheme="minorHAnsi"/>
          <w:b/>
          <w:bCs/>
          <w:sz w:val="22"/>
          <w:lang w:val="en-AU" w:eastAsia="en-AU"/>
        </w:rPr>
      </w:pPr>
      <w:r w:rsidRPr="00E561D8">
        <w:rPr>
          <w:rFonts w:eastAsia="Times New Roman" w:cstheme="minorHAnsi"/>
          <w:b/>
          <w:bCs/>
          <w:sz w:val="22"/>
          <w:lang w:val="en-AU" w:eastAsia="en-AU"/>
        </w:rPr>
        <w:t>1. System</w:t>
      </w:r>
      <w:r w:rsidRPr="00E561D8">
        <w:rPr>
          <w:rFonts w:ascii="Cambria Math" w:eastAsia="Times New Roman" w:hAnsi="Cambria Math" w:cs="Cambria Math"/>
          <w:b/>
          <w:bCs/>
          <w:sz w:val="22"/>
          <w:lang w:val="en-AU" w:eastAsia="en-AU"/>
        </w:rPr>
        <w:t>‑</w:t>
      </w:r>
      <w:r w:rsidRPr="00E561D8">
        <w:rPr>
          <w:rFonts w:eastAsia="Times New Roman" w:cstheme="minorHAnsi"/>
          <w:b/>
          <w:bCs/>
          <w:sz w:val="22"/>
          <w:lang w:val="en-AU" w:eastAsia="en-AU"/>
        </w:rPr>
        <w:t>based perspective</w:t>
      </w:r>
    </w:p>
    <w:p w14:paraId="3595944E" w14:textId="77777777" w:rsidR="00884712" w:rsidRPr="00E561D8" w:rsidRDefault="00884712" w:rsidP="00884712">
      <w:pPr>
        <w:spacing w:before="100" w:beforeAutospacing="1" w:after="100" w:afterAutospacing="1" w:line="240" w:lineRule="auto"/>
        <w:ind w:left="360"/>
        <w:rPr>
          <w:rFonts w:eastAsia="Times New Roman" w:cstheme="minorHAnsi"/>
          <w:sz w:val="22"/>
          <w:lang w:val="en-AU" w:eastAsia="en-AU"/>
        </w:rPr>
      </w:pPr>
      <w:r w:rsidRPr="00E561D8">
        <w:rPr>
          <w:rFonts w:eastAsia="Times New Roman" w:cstheme="minorHAnsi"/>
          <w:sz w:val="22"/>
          <w:lang w:val="en-AU" w:eastAsia="en-AU"/>
        </w:rPr>
        <w:t>VTS contribution is interpreted within the broader context of pilotage, routing measures, aids to navigation, port procedures and regulatory frameworks. The methodology does not isolate VTS from these mechanisms or compare their relative influence. Instead, it recognises that overall outcomes arise from the combined effect of multiple complementary measures.</w:t>
      </w:r>
    </w:p>
    <w:p w14:paraId="4667390C" w14:textId="77777777" w:rsidR="00884712" w:rsidRPr="00E561D8" w:rsidRDefault="00884712" w:rsidP="00884712">
      <w:pPr>
        <w:spacing w:before="120" w:after="120" w:line="240" w:lineRule="auto"/>
        <w:ind w:left="360"/>
        <w:rPr>
          <w:rFonts w:eastAsia="Times New Roman" w:cstheme="minorHAnsi"/>
          <w:b/>
          <w:bCs/>
          <w:sz w:val="22"/>
          <w:lang w:val="en-AU" w:eastAsia="en-AU"/>
        </w:rPr>
      </w:pPr>
      <w:r w:rsidRPr="00E561D8">
        <w:rPr>
          <w:rFonts w:eastAsia="Times New Roman" w:cstheme="minorHAnsi"/>
          <w:b/>
          <w:bCs/>
          <w:sz w:val="22"/>
          <w:lang w:val="en-AU" w:eastAsia="en-AU"/>
        </w:rPr>
        <w:t>2. Focus on interactions and developing unsafe situations</w:t>
      </w:r>
    </w:p>
    <w:p w14:paraId="01044A7E" w14:textId="77777777" w:rsidR="00884712" w:rsidRPr="00E561D8" w:rsidRDefault="00884712" w:rsidP="00884712">
      <w:pPr>
        <w:spacing w:before="100" w:beforeAutospacing="1" w:after="100" w:afterAutospacing="1" w:line="240" w:lineRule="auto"/>
        <w:ind w:left="360"/>
        <w:rPr>
          <w:rFonts w:eastAsia="Times New Roman" w:cstheme="minorHAnsi"/>
          <w:sz w:val="22"/>
          <w:lang w:val="en-AU" w:eastAsia="en-AU"/>
        </w:rPr>
      </w:pPr>
      <w:r w:rsidRPr="00E561D8">
        <w:rPr>
          <w:rFonts w:eastAsia="Times New Roman" w:cstheme="minorHAnsi"/>
          <w:sz w:val="22"/>
          <w:lang w:val="en-AU" w:eastAsia="en-AU"/>
        </w:rPr>
        <w:t>The methodology centres on VTS interactions that address developing unsafe situations, including warnings, advice and instructions. These interactions provide the most direct insight into how VTS contributes to mitigating casualties, incidents and near misses.</w:t>
      </w:r>
    </w:p>
    <w:p w14:paraId="1CAA820B" w14:textId="77777777" w:rsidR="00884712" w:rsidRPr="00E561D8" w:rsidRDefault="00884712" w:rsidP="00884712">
      <w:pPr>
        <w:spacing w:before="120" w:after="120" w:line="240" w:lineRule="auto"/>
        <w:ind w:left="360"/>
        <w:rPr>
          <w:rFonts w:eastAsia="Times New Roman" w:cstheme="minorHAnsi"/>
          <w:b/>
          <w:bCs/>
          <w:sz w:val="22"/>
          <w:lang w:val="en-AU" w:eastAsia="en-AU"/>
        </w:rPr>
      </w:pPr>
      <w:r w:rsidRPr="00E561D8">
        <w:rPr>
          <w:rFonts w:eastAsia="Times New Roman" w:cstheme="minorHAnsi"/>
          <w:b/>
          <w:bCs/>
          <w:sz w:val="22"/>
          <w:lang w:val="en-AU" w:eastAsia="en-AU"/>
        </w:rPr>
        <w:t>3. Use of qualitative evidence supported by structured data</w:t>
      </w:r>
    </w:p>
    <w:p w14:paraId="544B914D" w14:textId="77777777" w:rsidR="00884712" w:rsidRPr="00E561D8" w:rsidRDefault="00884712" w:rsidP="00884712">
      <w:pPr>
        <w:spacing w:before="100" w:beforeAutospacing="1" w:after="100" w:afterAutospacing="1" w:line="240" w:lineRule="auto"/>
        <w:ind w:left="360"/>
        <w:rPr>
          <w:rFonts w:eastAsia="Times New Roman" w:cstheme="minorHAnsi"/>
          <w:sz w:val="22"/>
          <w:lang w:val="en-AU" w:eastAsia="en-AU"/>
        </w:rPr>
      </w:pPr>
      <w:r w:rsidRPr="00E561D8">
        <w:rPr>
          <w:rFonts w:eastAsia="Times New Roman" w:cstheme="minorHAnsi"/>
          <w:sz w:val="22"/>
          <w:lang w:val="en-AU" w:eastAsia="en-AU"/>
        </w:rPr>
        <w:t>Incident reports, operator logs and operational experience form the primary evidence base. Structured time</w:t>
      </w:r>
      <w:r w:rsidRPr="00E561D8">
        <w:rPr>
          <w:rFonts w:ascii="Cambria Math" w:eastAsia="Times New Roman" w:hAnsi="Cambria Math" w:cs="Cambria Math"/>
          <w:sz w:val="22"/>
          <w:lang w:val="en-AU" w:eastAsia="en-AU"/>
        </w:rPr>
        <w:t>‑</w:t>
      </w:r>
      <w:r w:rsidRPr="00E561D8">
        <w:rPr>
          <w:rFonts w:eastAsia="Times New Roman" w:cstheme="minorHAnsi"/>
          <w:sz w:val="22"/>
          <w:lang w:val="en-AU" w:eastAsia="en-AU"/>
        </w:rPr>
        <w:t>series data enhances this qualitative evidence by illustrating trends, changes and the introduction or evolution of other safety and environmental measures over time.</w:t>
      </w:r>
    </w:p>
    <w:p w14:paraId="721209E1" w14:textId="77777777" w:rsidR="00884712" w:rsidRPr="00E561D8" w:rsidRDefault="00884712" w:rsidP="00884712">
      <w:pPr>
        <w:spacing w:before="120" w:after="120" w:line="240" w:lineRule="auto"/>
        <w:ind w:left="360"/>
        <w:rPr>
          <w:rFonts w:eastAsia="Times New Roman" w:cstheme="minorHAnsi"/>
          <w:b/>
          <w:bCs/>
          <w:sz w:val="22"/>
          <w:lang w:val="en-AU" w:eastAsia="en-AU"/>
        </w:rPr>
      </w:pPr>
      <w:r w:rsidRPr="00E561D8">
        <w:rPr>
          <w:rFonts w:eastAsia="Times New Roman" w:cstheme="minorHAnsi"/>
          <w:b/>
          <w:bCs/>
          <w:sz w:val="22"/>
          <w:lang w:val="en-AU" w:eastAsia="en-AU"/>
        </w:rPr>
        <w:t>4. Recognition of shared outcomes</w:t>
      </w:r>
    </w:p>
    <w:p w14:paraId="3911E93C" w14:textId="77777777" w:rsidR="00884712" w:rsidRPr="00E561D8" w:rsidRDefault="00884712" w:rsidP="00884712">
      <w:pPr>
        <w:spacing w:before="100" w:beforeAutospacing="1" w:after="100" w:afterAutospacing="1" w:line="240" w:lineRule="auto"/>
        <w:ind w:left="360"/>
        <w:rPr>
          <w:rFonts w:eastAsia="Times New Roman" w:cstheme="minorHAnsi"/>
          <w:sz w:val="22"/>
          <w:lang w:val="en-AU" w:eastAsia="en-AU"/>
        </w:rPr>
      </w:pPr>
      <w:r w:rsidRPr="00E561D8">
        <w:rPr>
          <w:rFonts w:eastAsia="Times New Roman" w:cstheme="minorHAnsi"/>
          <w:sz w:val="22"/>
          <w:lang w:val="en-AU" w:eastAsia="en-AU"/>
        </w:rPr>
        <w:lastRenderedPageBreak/>
        <w:t>Reductions in collisions, groundings and near misses cannot be attributed to VTS alone. The methodology therefore focuses on demonstrating VTS contribution rather than assigning sole responsibility for outcomes. This principle avoids misinterpretation and supports accurate communication with stakeholders.</w:t>
      </w:r>
    </w:p>
    <w:p w14:paraId="7F2D7D3B" w14:textId="77777777" w:rsidR="00884712" w:rsidRPr="00E561D8" w:rsidRDefault="00884712" w:rsidP="00884712">
      <w:pPr>
        <w:spacing w:before="120" w:after="120" w:line="240" w:lineRule="auto"/>
        <w:ind w:left="360"/>
        <w:rPr>
          <w:rFonts w:eastAsia="Times New Roman" w:cstheme="minorHAnsi"/>
          <w:b/>
          <w:bCs/>
          <w:sz w:val="22"/>
          <w:lang w:val="en-AU" w:eastAsia="en-AU"/>
        </w:rPr>
      </w:pPr>
      <w:r w:rsidRPr="00E561D8">
        <w:rPr>
          <w:rFonts w:eastAsia="Times New Roman" w:cstheme="minorHAnsi"/>
          <w:b/>
          <w:bCs/>
          <w:sz w:val="22"/>
          <w:lang w:val="en-AU" w:eastAsia="en-AU"/>
        </w:rPr>
        <w:t>5. Practicality and applicability across all VTS environments</w:t>
      </w:r>
    </w:p>
    <w:p w14:paraId="0F2A49DB" w14:textId="77777777" w:rsidR="00884712" w:rsidRPr="00E561D8" w:rsidRDefault="00884712" w:rsidP="00884712">
      <w:pPr>
        <w:spacing w:before="100" w:beforeAutospacing="1" w:after="100" w:afterAutospacing="1" w:line="240" w:lineRule="auto"/>
        <w:ind w:left="360"/>
        <w:rPr>
          <w:rFonts w:eastAsia="Times New Roman" w:cstheme="minorHAnsi"/>
          <w:sz w:val="22"/>
          <w:lang w:val="en-AU" w:eastAsia="en-AU"/>
        </w:rPr>
      </w:pPr>
      <w:r w:rsidRPr="00E561D8">
        <w:rPr>
          <w:rFonts w:eastAsia="Times New Roman" w:cstheme="minorHAnsi"/>
          <w:sz w:val="22"/>
          <w:lang w:val="en-AU" w:eastAsia="en-AU"/>
        </w:rPr>
        <w:t>The methodology relies on information already recorded as part of routine VTS operations. It does not require complex statistical analysis or specialised tools, making it suitable for all VTS centres regardless of size, capability or technological maturity.</w:t>
      </w:r>
    </w:p>
    <w:p w14:paraId="64600F21" w14:textId="77777777" w:rsidR="00884712" w:rsidRPr="00E561D8" w:rsidRDefault="00884712" w:rsidP="00884712">
      <w:pPr>
        <w:spacing w:before="120" w:after="120" w:line="240" w:lineRule="auto"/>
        <w:ind w:left="360"/>
        <w:rPr>
          <w:rFonts w:eastAsia="Times New Roman" w:cstheme="minorHAnsi"/>
          <w:b/>
          <w:bCs/>
          <w:sz w:val="22"/>
          <w:lang w:val="en-AU" w:eastAsia="en-AU"/>
        </w:rPr>
      </w:pPr>
      <w:r w:rsidRPr="00E561D8">
        <w:rPr>
          <w:rFonts w:eastAsia="Times New Roman" w:cstheme="minorHAnsi"/>
          <w:b/>
          <w:bCs/>
          <w:sz w:val="22"/>
          <w:lang w:val="en-AU" w:eastAsia="en-AU"/>
        </w:rPr>
        <w:t>6. Transparency and consistency in interpretation</w:t>
      </w:r>
    </w:p>
    <w:p w14:paraId="54314425" w14:textId="77777777" w:rsidR="00884712" w:rsidRPr="00E561D8" w:rsidRDefault="00884712" w:rsidP="00884712">
      <w:pPr>
        <w:spacing w:before="100" w:beforeAutospacing="1" w:after="100" w:afterAutospacing="1" w:line="240" w:lineRule="auto"/>
        <w:ind w:left="360"/>
        <w:rPr>
          <w:rFonts w:eastAsia="Times New Roman" w:cstheme="minorHAnsi"/>
          <w:sz w:val="22"/>
          <w:lang w:val="en-AU" w:eastAsia="en-AU"/>
        </w:rPr>
      </w:pPr>
      <w:r w:rsidRPr="00E561D8">
        <w:rPr>
          <w:rFonts w:eastAsia="Times New Roman" w:cstheme="minorHAnsi"/>
          <w:sz w:val="22"/>
          <w:lang w:val="en-AU" w:eastAsia="en-AU"/>
        </w:rPr>
        <w:t>Clear definitions, consistent categorisation of interactions and transparent documentation support reliable interpretation of VTS contribution over time. This consistency is essential when communicating findings to authorities, auditors and stakeholders.</w:t>
      </w:r>
    </w:p>
    <w:p w14:paraId="01103382" w14:textId="77777777" w:rsidR="00884712" w:rsidRPr="00E561D8" w:rsidRDefault="00884712" w:rsidP="00884712">
      <w:pPr>
        <w:spacing w:before="120" w:after="120" w:line="240" w:lineRule="auto"/>
        <w:ind w:left="360"/>
        <w:rPr>
          <w:rFonts w:eastAsia="Times New Roman" w:cstheme="minorHAnsi"/>
          <w:b/>
          <w:bCs/>
          <w:sz w:val="22"/>
          <w:lang w:val="en-AU" w:eastAsia="en-AU"/>
        </w:rPr>
      </w:pPr>
      <w:r w:rsidRPr="00E561D8">
        <w:rPr>
          <w:rFonts w:eastAsia="Times New Roman" w:cstheme="minorHAnsi"/>
          <w:b/>
          <w:bCs/>
          <w:sz w:val="22"/>
          <w:lang w:val="en-AU" w:eastAsia="en-AU"/>
        </w:rPr>
        <w:t>7. Adaptability to change</w:t>
      </w:r>
    </w:p>
    <w:p w14:paraId="6594C390" w14:textId="77777777" w:rsidR="00884712" w:rsidRDefault="00884712" w:rsidP="00884712">
      <w:pPr>
        <w:spacing w:before="100" w:beforeAutospacing="1" w:after="100" w:afterAutospacing="1" w:line="240" w:lineRule="auto"/>
        <w:ind w:left="360"/>
        <w:rPr>
          <w:rFonts w:eastAsia="Times New Roman" w:cstheme="minorHAnsi"/>
          <w:sz w:val="22"/>
          <w:lang w:val="en-AU" w:eastAsia="en-AU"/>
        </w:rPr>
      </w:pPr>
      <w:r w:rsidRPr="00E561D8">
        <w:rPr>
          <w:rFonts w:eastAsia="Times New Roman" w:cstheme="minorHAnsi"/>
          <w:sz w:val="22"/>
          <w:lang w:val="en-AU" w:eastAsia="en-AU"/>
        </w:rPr>
        <w:t>The methodology accommodates changes in VTS capability, technology, procedures and associated safety measures. As new systems or practices are introduced, they can be incorporated into the time</w:t>
      </w:r>
      <w:r w:rsidRPr="00E561D8">
        <w:rPr>
          <w:rFonts w:ascii="Cambria Math" w:eastAsia="Times New Roman" w:hAnsi="Cambria Math" w:cs="Cambria Math"/>
          <w:sz w:val="22"/>
          <w:lang w:val="en-AU" w:eastAsia="en-AU"/>
        </w:rPr>
        <w:t>‑</w:t>
      </w:r>
      <w:r w:rsidRPr="00E561D8">
        <w:rPr>
          <w:rFonts w:eastAsia="Times New Roman" w:cstheme="minorHAnsi"/>
          <w:sz w:val="22"/>
          <w:lang w:val="en-AU" w:eastAsia="en-AU"/>
        </w:rPr>
        <w:t>series dataset to maintain continuity and relevance.</w:t>
      </w:r>
    </w:p>
    <w:p w14:paraId="171F5424" w14:textId="77777777" w:rsidR="00884712" w:rsidRPr="00175F16" w:rsidRDefault="00884712" w:rsidP="00175F16">
      <w:pPr>
        <w:pStyle w:val="Heading2"/>
      </w:pPr>
      <w:bookmarkStart w:id="20" w:name="_Toc235197773"/>
      <w:bookmarkStart w:id="21" w:name="_Toc238036116"/>
      <w:r w:rsidRPr="00175F16">
        <w:t>Data requirements</w:t>
      </w:r>
      <w:bookmarkEnd w:id="20"/>
      <w:bookmarkEnd w:id="21"/>
    </w:p>
    <w:p w14:paraId="2A9CEFBA" w14:textId="59C1AC96" w:rsidR="00C65D61" w:rsidRPr="0053711F" w:rsidRDefault="00884712" w:rsidP="00884712">
      <w:pPr>
        <w:spacing w:before="100" w:beforeAutospacing="1" w:after="100" w:afterAutospacing="1" w:line="240" w:lineRule="auto"/>
        <w:rPr>
          <w:rFonts w:eastAsia="Times New Roman" w:cstheme="minorHAnsi"/>
          <w:sz w:val="22"/>
          <w:lang w:val="en-AU" w:eastAsia="en-AU"/>
        </w:rPr>
      </w:pPr>
      <w:r w:rsidRPr="0053711F">
        <w:rPr>
          <w:rFonts w:eastAsia="Times New Roman" w:cstheme="minorHAnsi"/>
          <w:sz w:val="22"/>
          <w:lang w:val="en-AU" w:eastAsia="en-AU"/>
        </w:rPr>
        <w:t xml:space="preserve">To support consistent application of the methodology, </w:t>
      </w:r>
      <w:r w:rsidR="00705BF2">
        <w:rPr>
          <w:rFonts w:eastAsia="Times New Roman" w:cstheme="minorHAnsi"/>
          <w:sz w:val="22"/>
          <w:lang w:val="en-AU" w:eastAsia="en-AU"/>
        </w:rPr>
        <w:t>VTS centres should record</w:t>
      </w:r>
      <w:r w:rsidR="00705BF2" w:rsidRPr="0053711F">
        <w:rPr>
          <w:rFonts w:eastAsia="Times New Roman" w:cstheme="minorHAnsi"/>
          <w:sz w:val="22"/>
          <w:lang w:val="en-AU" w:eastAsia="en-AU"/>
        </w:rPr>
        <w:t xml:space="preserve"> </w:t>
      </w:r>
      <w:r w:rsidRPr="0053711F">
        <w:rPr>
          <w:rFonts w:eastAsia="Times New Roman" w:cstheme="minorHAnsi"/>
          <w:sz w:val="22"/>
          <w:lang w:val="en-AU" w:eastAsia="en-AU"/>
        </w:rPr>
        <w:t>core data elements for each situation involving VTS interaction</w:t>
      </w:r>
      <w:r w:rsidR="008A441B" w:rsidRPr="00705BF2">
        <w:rPr>
          <w:rFonts w:eastAsia="Times New Roman" w:cstheme="minorHAnsi"/>
          <w:sz w:val="22"/>
          <w:lang w:val="en-AU" w:eastAsia="en-AU"/>
        </w:rPr>
        <w:t>, including incident records, VTS interaction logs and contextual information relating to associated safety measures</w:t>
      </w:r>
      <w:r w:rsidRPr="0053711F">
        <w:rPr>
          <w:rFonts w:eastAsia="Times New Roman" w:cstheme="minorHAnsi"/>
          <w:sz w:val="22"/>
          <w:lang w:val="en-AU" w:eastAsia="en-AU"/>
        </w:rPr>
        <w:t>. These elements provide the minimum information required to describe the circumstances of the event, the vessel involved, the developing unsafe situation and the nature of the VTS contribution</w:t>
      </w:r>
      <w:r w:rsidR="00C65D61">
        <w:rPr>
          <w:rFonts w:eastAsia="Times New Roman" w:cstheme="minorHAnsi"/>
          <w:sz w:val="22"/>
          <w:lang w:val="en-AU" w:eastAsia="en-AU"/>
        </w:rPr>
        <w:t>.</w:t>
      </w:r>
    </w:p>
    <w:p w14:paraId="06A8FF31" w14:textId="77777777" w:rsidR="00884712" w:rsidRPr="0053711F" w:rsidRDefault="00884712" w:rsidP="00884712">
      <w:pPr>
        <w:spacing w:before="100" w:beforeAutospacing="1" w:after="100" w:afterAutospacing="1" w:line="240" w:lineRule="auto"/>
        <w:rPr>
          <w:rFonts w:eastAsia="Times New Roman" w:cstheme="minorHAnsi"/>
          <w:sz w:val="22"/>
          <w:lang w:val="en-AU" w:eastAsia="en-AU"/>
        </w:rPr>
      </w:pPr>
      <w:r w:rsidRPr="0053711F">
        <w:rPr>
          <w:rFonts w:eastAsia="Times New Roman" w:cstheme="minorHAnsi"/>
          <w:sz w:val="22"/>
          <w:lang w:val="en-AU" w:eastAsia="en-AU"/>
        </w:rPr>
        <w:t>Key elements to be considered for monitoring, documenting and recording include:</w:t>
      </w:r>
    </w:p>
    <w:p w14:paraId="1C52A55D" w14:textId="77777777" w:rsidR="00884712" w:rsidRPr="0053711F"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53711F">
        <w:rPr>
          <w:rFonts w:eastAsia="Times New Roman" w:cstheme="minorHAnsi"/>
          <w:b/>
          <w:bCs/>
          <w:lang w:eastAsia="en-AU"/>
        </w:rPr>
        <w:t>Date and time</w:t>
      </w:r>
      <w:r w:rsidRPr="0053711F">
        <w:rPr>
          <w:rFonts w:eastAsia="Times New Roman" w:cstheme="minorHAnsi"/>
          <w:lang w:eastAsia="en-AU"/>
        </w:rPr>
        <w:t xml:space="preserve"> – The date and local time at which the situation occurred.</w:t>
      </w:r>
    </w:p>
    <w:p w14:paraId="299E9ADB" w14:textId="77777777" w:rsidR="00884712" w:rsidRPr="0053711F"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53711F">
        <w:rPr>
          <w:rFonts w:eastAsia="Times New Roman" w:cstheme="minorHAnsi"/>
          <w:b/>
          <w:bCs/>
          <w:lang w:eastAsia="en-AU"/>
        </w:rPr>
        <w:t>Source of information</w:t>
      </w:r>
      <w:r w:rsidRPr="0053711F">
        <w:rPr>
          <w:rFonts w:eastAsia="Times New Roman" w:cstheme="minorHAnsi"/>
          <w:lang w:eastAsia="en-AU"/>
        </w:rPr>
        <w:t xml:space="preserve"> – Origin of the report or data, such as VTS operational records, incident/accident/near</w:t>
      </w:r>
      <w:r w:rsidRPr="0053711F">
        <w:rPr>
          <w:rFonts w:ascii="Cambria Math" w:eastAsia="Times New Roman" w:hAnsi="Cambria Math" w:cs="Cambria Math"/>
          <w:lang w:eastAsia="en-AU"/>
        </w:rPr>
        <w:t>‑</w:t>
      </w:r>
      <w:r w:rsidRPr="0053711F">
        <w:rPr>
          <w:rFonts w:eastAsia="Times New Roman" w:cstheme="minorHAnsi"/>
          <w:lang w:eastAsia="en-AU"/>
        </w:rPr>
        <w:t>miss reports (refer to Guideline XXX), maritime safety investigation reports or other relevant documentation.</w:t>
      </w:r>
    </w:p>
    <w:p w14:paraId="44A794A2" w14:textId="77777777" w:rsidR="00884712" w:rsidRPr="0053711F"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53711F">
        <w:rPr>
          <w:rFonts w:eastAsia="Times New Roman" w:cstheme="minorHAnsi"/>
          <w:b/>
          <w:bCs/>
          <w:lang w:eastAsia="en-AU"/>
        </w:rPr>
        <w:t>Vessel identification</w:t>
      </w:r>
      <w:r w:rsidRPr="0053711F">
        <w:rPr>
          <w:rFonts w:eastAsia="Times New Roman" w:cstheme="minorHAnsi"/>
          <w:lang w:eastAsia="en-AU"/>
        </w:rPr>
        <w:t xml:space="preserve"> – Name, call sign and IMO number.</w:t>
      </w:r>
    </w:p>
    <w:p w14:paraId="6BFDD2DB" w14:textId="77777777" w:rsidR="00884712" w:rsidRPr="0053711F"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53711F">
        <w:rPr>
          <w:rFonts w:eastAsia="Times New Roman" w:cstheme="minorHAnsi"/>
          <w:b/>
          <w:bCs/>
          <w:lang w:eastAsia="en-AU"/>
        </w:rPr>
        <w:t>Vessel type</w:t>
      </w:r>
      <w:r w:rsidRPr="0053711F">
        <w:rPr>
          <w:rFonts w:eastAsia="Times New Roman" w:cstheme="minorHAnsi"/>
          <w:lang w:eastAsia="en-AU"/>
        </w:rPr>
        <w:t xml:space="preserve"> – General vessel classification (e.g., container ship, tanker, bulk carrier, passenger vessel).</w:t>
      </w:r>
    </w:p>
    <w:p w14:paraId="038F0AC2" w14:textId="77777777" w:rsidR="00884712" w:rsidRPr="0053711F"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53711F">
        <w:rPr>
          <w:rFonts w:eastAsia="Times New Roman" w:cstheme="minorHAnsi"/>
          <w:b/>
          <w:bCs/>
          <w:lang w:eastAsia="en-AU"/>
        </w:rPr>
        <w:t>Vessel length</w:t>
      </w:r>
      <w:r w:rsidRPr="0053711F">
        <w:rPr>
          <w:rFonts w:eastAsia="Times New Roman" w:cstheme="minorHAnsi"/>
          <w:lang w:eastAsia="en-AU"/>
        </w:rPr>
        <w:t xml:space="preserve"> – Length overall (LOA).</w:t>
      </w:r>
    </w:p>
    <w:p w14:paraId="219C56DF" w14:textId="77777777" w:rsidR="00884712" w:rsidRPr="0053711F"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53711F">
        <w:rPr>
          <w:rFonts w:eastAsia="Times New Roman" w:cstheme="minorHAnsi"/>
          <w:b/>
          <w:bCs/>
          <w:lang w:eastAsia="en-AU"/>
        </w:rPr>
        <w:t>Flag State</w:t>
      </w:r>
      <w:r w:rsidRPr="0053711F">
        <w:rPr>
          <w:rFonts w:eastAsia="Times New Roman" w:cstheme="minorHAnsi"/>
          <w:lang w:eastAsia="en-AU"/>
        </w:rPr>
        <w:t xml:space="preserve"> – Flag State of the vessel.</w:t>
      </w:r>
    </w:p>
    <w:p w14:paraId="05BD6ACD" w14:textId="77777777" w:rsidR="00884712" w:rsidRPr="0053711F"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53711F">
        <w:rPr>
          <w:rFonts w:eastAsia="Times New Roman" w:cstheme="minorHAnsi"/>
          <w:b/>
          <w:bCs/>
          <w:lang w:eastAsia="en-AU"/>
        </w:rPr>
        <w:t>Area</w:t>
      </w:r>
      <w:r w:rsidRPr="0053711F">
        <w:rPr>
          <w:rFonts w:eastAsia="Times New Roman" w:cstheme="minorHAnsi"/>
          <w:lang w:eastAsia="en-AU"/>
        </w:rPr>
        <w:t xml:space="preserve"> – Where applicable, the VTS sector or locally defined operational area in which the situation occurred.</w:t>
      </w:r>
    </w:p>
    <w:p w14:paraId="4EB70061" w14:textId="77777777" w:rsidR="00884712" w:rsidRPr="0053711F"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53711F">
        <w:rPr>
          <w:rFonts w:eastAsia="Times New Roman" w:cstheme="minorHAnsi"/>
          <w:b/>
          <w:bCs/>
          <w:lang w:eastAsia="en-AU"/>
        </w:rPr>
        <w:t>Location</w:t>
      </w:r>
      <w:r w:rsidRPr="0053711F">
        <w:rPr>
          <w:rFonts w:eastAsia="Times New Roman" w:cstheme="minorHAnsi"/>
          <w:lang w:eastAsia="en-AU"/>
        </w:rPr>
        <w:t xml:space="preserve"> – Latitude and longitude of the vessel at the time of the situation.</w:t>
      </w:r>
    </w:p>
    <w:p w14:paraId="5D967522" w14:textId="77777777" w:rsidR="00884712" w:rsidRPr="0053711F"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53711F">
        <w:rPr>
          <w:rFonts w:eastAsia="Times New Roman" w:cstheme="minorHAnsi"/>
          <w:b/>
          <w:bCs/>
          <w:lang w:eastAsia="en-AU"/>
        </w:rPr>
        <w:t>Pilotage status</w:t>
      </w:r>
      <w:r w:rsidRPr="0053711F">
        <w:rPr>
          <w:rFonts w:eastAsia="Times New Roman" w:cstheme="minorHAnsi"/>
          <w:lang w:eastAsia="en-AU"/>
        </w:rPr>
        <w:t xml:space="preserve"> – Whether the vessel was under pilotage (Yes/No).</w:t>
      </w:r>
    </w:p>
    <w:p w14:paraId="701888C4" w14:textId="77777777" w:rsidR="00884712" w:rsidRPr="0053711F"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53711F">
        <w:rPr>
          <w:rFonts w:eastAsia="Times New Roman" w:cstheme="minorHAnsi"/>
          <w:b/>
          <w:bCs/>
          <w:lang w:eastAsia="en-AU"/>
        </w:rPr>
        <w:t>Type of situation</w:t>
      </w:r>
      <w:r w:rsidRPr="0053711F">
        <w:rPr>
          <w:rFonts w:eastAsia="Times New Roman" w:cstheme="minorHAnsi"/>
          <w:lang w:eastAsia="en-AU"/>
        </w:rPr>
        <w:t xml:space="preserve"> – Depending on the role of the VTS, this may include one or more developing unsafe situations such as:</w:t>
      </w:r>
    </w:p>
    <w:p w14:paraId="7843CB39" w14:textId="77777777" w:rsidR="00884712" w:rsidRPr="0053711F" w:rsidRDefault="00884712" w:rsidP="00DA78AB">
      <w:pPr>
        <w:pStyle w:val="ListParagraph"/>
        <w:numPr>
          <w:ilvl w:val="1"/>
          <w:numId w:val="41"/>
        </w:numPr>
        <w:spacing w:before="120" w:after="120" w:line="240" w:lineRule="auto"/>
        <w:contextualSpacing w:val="0"/>
        <w:rPr>
          <w:rFonts w:eastAsia="Times New Roman" w:cstheme="minorHAnsi"/>
          <w:lang w:eastAsia="en-AU"/>
        </w:rPr>
      </w:pPr>
      <w:r w:rsidRPr="0053711F">
        <w:rPr>
          <w:rFonts w:eastAsia="Times New Roman" w:cstheme="minorHAnsi"/>
          <w:lang w:eastAsia="en-AU"/>
        </w:rPr>
        <w:t> ship unsure of its route or position</w:t>
      </w:r>
    </w:p>
    <w:p w14:paraId="5BD84C02" w14:textId="77777777" w:rsidR="00884712" w:rsidRPr="0053711F" w:rsidRDefault="00884712" w:rsidP="00DA78AB">
      <w:pPr>
        <w:pStyle w:val="ListParagraph"/>
        <w:numPr>
          <w:ilvl w:val="1"/>
          <w:numId w:val="41"/>
        </w:numPr>
        <w:spacing w:before="120" w:after="120" w:line="240" w:lineRule="auto"/>
        <w:contextualSpacing w:val="0"/>
        <w:rPr>
          <w:rFonts w:eastAsia="Times New Roman" w:cstheme="minorHAnsi"/>
          <w:lang w:eastAsia="en-AU"/>
        </w:rPr>
      </w:pPr>
      <w:r w:rsidRPr="0053711F">
        <w:rPr>
          <w:rFonts w:eastAsia="Times New Roman" w:cstheme="minorHAnsi"/>
          <w:lang w:eastAsia="en-AU"/>
        </w:rPr>
        <w:t> ship deviating from the planned route</w:t>
      </w:r>
    </w:p>
    <w:p w14:paraId="13E8BDC6" w14:textId="77777777" w:rsidR="00884712" w:rsidRPr="0053711F" w:rsidRDefault="00884712" w:rsidP="00DA78AB">
      <w:pPr>
        <w:pStyle w:val="ListParagraph"/>
        <w:numPr>
          <w:ilvl w:val="1"/>
          <w:numId w:val="41"/>
        </w:numPr>
        <w:spacing w:before="120" w:after="120" w:line="240" w:lineRule="auto"/>
        <w:contextualSpacing w:val="0"/>
        <w:rPr>
          <w:rFonts w:eastAsia="Times New Roman" w:cstheme="minorHAnsi"/>
          <w:lang w:eastAsia="en-AU"/>
        </w:rPr>
      </w:pPr>
      <w:r w:rsidRPr="0053711F">
        <w:rPr>
          <w:rFonts w:eastAsia="Times New Roman" w:cstheme="minorHAnsi"/>
          <w:lang w:eastAsia="en-AU"/>
        </w:rPr>
        <w:lastRenderedPageBreak/>
        <w:t> ship missing a critical waypoint</w:t>
      </w:r>
    </w:p>
    <w:p w14:paraId="62C50E9F" w14:textId="77777777" w:rsidR="00884712" w:rsidRPr="0053711F" w:rsidRDefault="00884712" w:rsidP="00DA78AB">
      <w:pPr>
        <w:pStyle w:val="ListParagraph"/>
        <w:numPr>
          <w:ilvl w:val="1"/>
          <w:numId w:val="41"/>
        </w:numPr>
        <w:spacing w:before="120" w:after="120" w:line="240" w:lineRule="auto"/>
        <w:contextualSpacing w:val="0"/>
        <w:rPr>
          <w:rFonts w:eastAsia="Times New Roman" w:cstheme="minorHAnsi"/>
          <w:lang w:eastAsia="en-AU"/>
        </w:rPr>
      </w:pPr>
      <w:r w:rsidRPr="0053711F">
        <w:rPr>
          <w:rFonts w:eastAsia="Times New Roman" w:cstheme="minorHAnsi"/>
          <w:lang w:eastAsia="en-AU"/>
        </w:rPr>
        <w:t> ship requiring guidance to an anchoring position</w:t>
      </w:r>
    </w:p>
    <w:p w14:paraId="3CCEE4B8" w14:textId="77777777" w:rsidR="00884712" w:rsidRPr="0053711F" w:rsidRDefault="00884712" w:rsidP="00DA78AB">
      <w:pPr>
        <w:pStyle w:val="ListParagraph"/>
        <w:numPr>
          <w:ilvl w:val="1"/>
          <w:numId w:val="41"/>
        </w:numPr>
        <w:spacing w:before="120" w:after="120" w:line="240" w:lineRule="auto"/>
        <w:contextualSpacing w:val="0"/>
        <w:rPr>
          <w:rFonts w:eastAsia="Times New Roman" w:cstheme="minorHAnsi"/>
          <w:lang w:eastAsia="en-AU"/>
        </w:rPr>
      </w:pPr>
      <w:r w:rsidRPr="0053711F">
        <w:rPr>
          <w:rFonts w:eastAsia="Times New Roman" w:cstheme="minorHAnsi"/>
          <w:lang w:eastAsia="en-AU"/>
        </w:rPr>
        <w:t> ship experiencing defects or deficiencies (e.g., navigation or manoeuvring equipment failure)</w:t>
      </w:r>
    </w:p>
    <w:p w14:paraId="68294374" w14:textId="77777777" w:rsidR="00884712" w:rsidRPr="0053711F" w:rsidRDefault="00884712" w:rsidP="00DA78AB">
      <w:pPr>
        <w:pStyle w:val="ListParagraph"/>
        <w:numPr>
          <w:ilvl w:val="1"/>
          <w:numId w:val="41"/>
        </w:numPr>
        <w:spacing w:before="120" w:after="120" w:line="240" w:lineRule="auto"/>
        <w:contextualSpacing w:val="0"/>
        <w:rPr>
          <w:rFonts w:eastAsia="Times New Roman" w:cstheme="minorHAnsi"/>
          <w:lang w:eastAsia="en-AU"/>
        </w:rPr>
      </w:pPr>
      <w:r w:rsidRPr="0053711F">
        <w:rPr>
          <w:rFonts w:eastAsia="Times New Roman" w:cstheme="minorHAnsi"/>
          <w:lang w:eastAsia="en-AU"/>
        </w:rPr>
        <w:t> ship at risk of grounding or collision</w:t>
      </w:r>
    </w:p>
    <w:p w14:paraId="120DA677" w14:textId="77777777" w:rsidR="00884712" w:rsidRPr="0053711F" w:rsidRDefault="00884712" w:rsidP="00DA78AB">
      <w:pPr>
        <w:pStyle w:val="ListParagraph"/>
        <w:numPr>
          <w:ilvl w:val="1"/>
          <w:numId w:val="41"/>
        </w:numPr>
        <w:spacing w:before="120" w:after="120" w:line="240" w:lineRule="auto"/>
        <w:contextualSpacing w:val="0"/>
        <w:rPr>
          <w:rFonts w:eastAsia="Times New Roman" w:cstheme="minorHAnsi"/>
          <w:lang w:eastAsia="en-AU"/>
        </w:rPr>
      </w:pPr>
      <w:r w:rsidRPr="0053711F">
        <w:rPr>
          <w:rFonts w:eastAsia="Times New Roman" w:cstheme="minorHAnsi"/>
          <w:lang w:eastAsia="en-AU"/>
        </w:rPr>
        <w:t> emergency response or support to emergency services</w:t>
      </w:r>
    </w:p>
    <w:p w14:paraId="30B7D73B" w14:textId="77777777" w:rsidR="00884712" w:rsidRPr="0053711F" w:rsidRDefault="00884712" w:rsidP="00884712">
      <w:pPr>
        <w:spacing w:before="120" w:after="120" w:line="240" w:lineRule="auto"/>
        <w:ind w:left="708"/>
        <w:rPr>
          <w:rFonts w:eastAsia="Times New Roman" w:cstheme="minorHAnsi"/>
          <w:sz w:val="22"/>
          <w:lang w:val="en-AU" w:eastAsia="en-AU"/>
        </w:rPr>
      </w:pPr>
      <w:r w:rsidRPr="0053711F">
        <w:rPr>
          <w:rFonts w:eastAsia="Times New Roman" w:cstheme="minorHAnsi"/>
          <w:sz w:val="22"/>
          <w:lang w:val="en-AU" w:eastAsia="en-AU"/>
        </w:rPr>
        <w:t>A single event may involve multiple related situations. For example, a vessel observed deviating from its route may subsequently be identified as missing a waypoint and later require guidance to avoid a potential grounding.</w:t>
      </w:r>
    </w:p>
    <w:p w14:paraId="17C8CE86" w14:textId="77777777" w:rsidR="00884712" w:rsidRPr="006E6555"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6E6555">
        <w:rPr>
          <w:rFonts w:eastAsia="Times New Roman" w:cstheme="minorHAnsi"/>
          <w:b/>
          <w:bCs/>
          <w:lang w:eastAsia="en-AU"/>
        </w:rPr>
        <w:t>Type of interaction</w:t>
      </w:r>
      <w:r w:rsidRPr="006E6555">
        <w:rPr>
          <w:rFonts w:eastAsia="Times New Roman" w:cstheme="minorHAnsi"/>
          <w:lang w:eastAsia="en-AU"/>
        </w:rPr>
        <w:t xml:space="preserve"> – The nature of the VTS intervention (i.e., warning, advice or instruction).</w:t>
      </w:r>
    </w:p>
    <w:p w14:paraId="0DA7A73A" w14:textId="77777777" w:rsidR="00884712" w:rsidRPr="006E6555"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6E6555">
        <w:rPr>
          <w:rFonts w:eastAsia="Times New Roman" w:cstheme="minorHAnsi"/>
          <w:b/>
          <w:bCs/>
          <w:lang w:eastAsia="en-AU"/>
        </w:rPr>
        <w:t>VTS attributable (Y/N</w:t>
      </w:r>
      <w:r w:rsidRPr="006E6555">
        <w:rPr>
          <w:rFonts w:eastAsia="Times New Roman" w:cstheme="minorHAnsi"/>
          <w:lang w:eastAsia="en-AU"/>
        </w:rPr>
        <w:t>) – Whether the VTS interaction contributed to mitigating the developing unsafe situation.</w:t>
      </w:r>
    </w:p>
    <w:p w14:paraId="73C7068D" w14:textId="77777777" w:rsidR="00884712" w:rsidRPr="006E6555" w:rsidRDefault="00884712" w:rsidP="00DA78AB">
      <w:pPr>
        <w:pStyle w:val="ListParagraph"/>
        <w:numPr>
          <w:ilvl w:val="0"/>
          <w:numId w:val="41"/>
        </w:numPr>
        <w:spacing w:before="120" w:after="120" w:line="240" w:lineRule="auto"/>
        <w:contextualSpacing w:val="0"/>
        <w:rPr>
          <w:rFonts w:eastAsia="Times New Roman" w:cstheme="minorHAnsi"/>
          <w:lang w:eastAsia="en-AU"/>
        </w:rPr>
      </w:pPr>
      <w:r w:rsidRPr="006E6555">
        <w:rPr>
          <w:rFonts w:eastAsia="Times New Roman" w:cstheme="minorHAnsi"/>
          <w:b/>
          <w:bCs/>
          <w:lang w:eastAsia="en-AU"/>
        </w:rPr>
        <w:t>Volume of traffic by year</w:t>
      </w:r>
      <w:r w:rsidRPr="006E6555">
        <w:rPr>
          <w:rFonts w:eastAsia="Times New Roman" w:cstheme="minorHAnsi"/>
          <w:lang w:eastAsia="en-AU"/>
        </w:rPr>
        <w:t xml:space="preserve"> – For example, the number of transits</w:t>
      </w:r>
      <w:r>
        <w:rPr>
          <w:rFonts w:eastAsia="Times New Roman" w:cstheme="minorHAnsi"/>
          <w:lang w:eastAsia="en-AU"/>
        </w:rPr>
        <w:t>.</w:t>
      </w:r>
    </w:p>
    <w:p w14:paraId="35534F0D" w14:textId="77777777" w:rsidR="00884712" w:rsidRPr="00175F16" w:rsidRDefault="00884712" w:rsidP="00175F16">
      <w:pPr>
        <w:pStyle w:val="Heading2"/>
      </w:pPr>
      <w:bookmarkStart w:id="22" w:name="_Toc235197774"/>
      <w:bookmarkStart w:id="23" w:name="_Toc238036117"/>
      <w:r w:rsidRPr="00175F16">
        <w:t>Time series data structure</w:t>
      </w:r>
      <w:bookmarkEnd w:id="22"/>
      <w:bookmarkEnd w:id="23"/>
    </w:p>
    <w:p w14:paraId="71DA10BE" w14:textId="3B415501" w:rsidR="00884712" w:rsidRPr="00694405" w:rsidRDefault="00884712" w:rsidP="00884712">
      <w:pPr>
        <w:spacing w:before="120" w:after="120" w:line="240" w:lineRule="auto"/>
        <w:rPr>
          <w:rFonts w:eastAsia="Times New Roman" w:cstheme="minorHAnsi"/>
          <w:sz w:val="22"/>
          <w:lang w:val="en-AU" w:eastAsia="en-AU"/>
        </w:rPr>
      </w:pPr>
      <w:r w:rsidRPr="00694405">
        <w:rPr>
          <w:rFonts w:eastAsia="Times New Roman" w:cstheme="minorHAnsi"/>
          <w:sz w:val="22"/>
          <w:lang w:val="en-AU" w:eastAsia="en-AU"/>
        </w:rPr>
        <w:t>The time</w:t>
      </w:r>
      <w:r w:rsidR="00C65D61">
        <w:rPr>
          <w:rFonts w:ascii="Cambria Math" w:eastAsia="Times New Roman" w:hAnsi="Cambria Math" w:cs="Cambria Math"/>
          <w:sz w:val="22"/>
          <w:lang w:val="en-AU" w:eastAsia="en-AU"/>
        </w:rPr>
        <w:t xml:space="preserve"> </w:t>
      </w:r>
      <w:r w:rsidRPr="00694405">
        <w:rPr>
          <w:rFonts w:eastAsia="Times New Roman" w:cstheme="minorHAnsi"/>
          <w:sz w:val="22"/>
          <w:lang w:val="en-AU" w:eastAsia="en-AU"/>
        </w:rPr>
        <w:t>series dataset provides a structured means of recording VTS interactions and associated safety and environmental measures over time. Its purpose is to illustrate how VTS contributes to mitigating developing unsafe situations and how this contribution relates to the introduction, evolution or enhancement of other measures within the wider maritime safety system. The dataset should be maintained in chronological order to support clear interpretation of trends and changes.</w:t>
      </w:r>
    </w:p>
    <w:p w14:paraId="55C1337F" w14:textId="77777777" w:rsidR="00884712" w:rsidRPr="00694405" w:rsidRDefault="00884712" w:rsidP="00884712">
      <w:pPr>
        <w:spacing w:before="120" w:after="120" w:line="240" w:lineRule="auto"/>
        <w:rPr>
          <w:rFonts w:eastAsia="Times New Roman" w:cstheme="minorHAnsi"/>
          <w:sz w:val="22"/>
          <w:lang w:val="en-AU" w:eastAsia="en-AU"/>
        </w:rPr>
      </w:pPr>
      <w:r w:rsidRPr="00694405">
        <w:rPr>
          <w:rFonts w:eastAsia="Times New Roman" w:cstheme="minorHAnsi"/>
          <w:sz w:val="22"/>
          <w:lang w:val="en-AU" w:eastAsia="en-AU"/>
        </w:rPr>
        <w:t>To ensure consistency, the time</w:t>
      </w:r>
      <w:r w:rsidRPr="00694405">
        <w:rPr>
          <w:rFonts w:ascii="Cambria Math" w:eastAsia="Times New Roman" w:hAnsi="Cambria Math" w:cs="Cambria Math"/>
          <w:sz w:val="22"/>
          <w:lang w:val="en-AU" w:eastAsia="en-AU"/>
        </w:rPr>
        <w:t>‑</w:t>
      </w:r>
      <w:r w:rsidRPr="00694405">
        <w:rPr>
          <w:rFonts w:eastAsia="Times New Roman" w:cstheme="minorHAnsi"/>
          <w:sz w:val="22"/>
          <w:lang w:val="en-AU" w:eastAsia="en-AU"/>
        </w:rPr>
        <w:t>series dataset should include the following categories of information:</w:t>
      </w:r>
    </w:p>
    <w:p w14:paraId="6FE16D52" w14:textId="77777777" w:rsidR="00884712" w:rsidRPr="00694405" w:rsidRDefault="00884712" w:rsidP="00884712">
      <w:pPr>
        <w:spacing w:before="120" w:after="120" w:line="240" w:lineRule="auto"/>
        <w:ind w:left="360"/>
        <w:rPr>
          <w:rFonts w:eastAsia="Times New Roman" w:cstheme="minorHAnsi"/>
          <w:b/>
          <w:bCs/>
          <w:sz w:val="22"/>
          <w:lang w:val="en-AU" w:eastAsia="en-AU"/>
        </w:rPr>
      </w:pPr>
      <w:r w:rsidRPr="00694405">
        <w:rPr>
          <w:rFonts w:eastAsia="Times New Roman" w:cstheme="minorHAnsi"/>
          <w:b/>
          <w:bCs/>
          <w:sz w:val="22"/>
          <w:lang w:val="en-AU" w:eastAsia="en-AU"/>
        </w:rPr>
        <w:t>1. VTS Interaction Records</w:t>
      </w:r>
    </w:p>
    <w:p w14:paraId="362BC8FE" w14:textId="77777777" w:rsidR="00884712" w:rsidRPr="00694405" w:rsidRDefault="00884712" w:rsidP="00884712">
      <w:pPr>
        <w:spacing w:before="120" w:after="120" w:line="240" w:lineRule="auto"/>
        <w:ind w:left="360"/>
        <w:rPr>
          <w:rFonts w:eastAsia="Times New Roman" w:cstheme="minorHAnsi"/>
          <w:sz w:val="22"/>
          <w:lang w:val="en-AU" w:eastAsia="en-AU"/>
        </w:rPr>
      </w:pPr>
      <w:r w:rsidRPr="00694405">
        <w:rPr>
          <w:rFonts w:eastAsia="Times New Roman" w:cstheme="minorHAnsi"/>
          <w:sz w:val="22"/>
          <w:lang w:val="en-AU" w:eastAsia="en-AU"/>
        </w:rPr>
        <w:t>These entries form the core of the dataset and should include the data elements described in Section 3.3.5. Each record should capture:</w:t>
      </w:r>
    </w:p>
    <w:p w14:paraId="48CA88D2"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694405">
        <w:rPr>
          <w:rFonts w:eastAsia="Times New Roman" w:cstheme="minorHAnsi"/>
          <w:lang w:eastAsia="en-AU"/>
        </w:rPr>
        <w:t>the developing unsafe situation(s) observed</w:t>
      </w:r>
    </w:p>
    <w:p w14:paraId="1CEFC43F"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694405">
        <w:rPr>
          <w:rFonts w:eastAsia="Times New Roman" w:cstheme="minorHAnsi"/>
          <w:lang w:eastAsia="en-AU"/>
        </w:rPr>
        <w:t>the VTS interaction(s) undertaken (warning, advice or instruction)</w:t>
      </w:r>
    </w:p>
    <w:p w14:paraId="35486434"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694405">
        <w:rPr>
          <w:rFonts w:eastAsia="Times New Roman" w:cstheme="minorHAnsi"/>
          <w:lang w:eastAsia="en-AU"/>
        </w:rPr>
        <w:t>whether the interaction contributed to mitigating the situation (VTS attributable Y/N)</w:t>
      </w:r>
    </w:p>
    <w:p w14:paraId="3538E506"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694405">
        <w:rPr>
          <w:rFonts w:eastAsia="Times New Roman" w:cstheme="minorHAnsi"/>
          <w:lang w:eastAsia="en-AU"/>
        </w:rPr>
        <w:t>any escalation or sequence of interactions associated with the event</w:t>
      </w:r>
    </w:p>
    <w:p w14:paraId="62B6F19E" w14:textId="77777777" w:rsidR="00884712" w:rsidRPr="00694405" w:rsidRDefault="00884712" w:rsidP="00884712">
      <w:pPr>
        <w:spacing w:before="120" w:after="120" w:line="240" w:lineRule="auto"/>
        <w:ind w:left="360"/>
        <w:rPr>
          <w:rFonts w:eastAsia="Times New Roman" w:cstheme="minorHAnsi"/>
          <w:sz w:val="22"/>
          <w:lang w:val="en-AU" w:eastAsia="en-AU"/>
        </w:rPr>
      </w:pPr>
      <w:r w:rsidRPr="00694405">
        <w:rPr>
          <w:rFonts w:eastAsia="Times New Roman" w:cstheme="minorHAnsi"/>
          <w:sz w:val="22"/>
          <w:lang w:val="en-AU" w:eastAsia="en-AU"/>
        </w:rPr>
        <w:t>Recording these elements over time enables VTS centres to identify patterns in vessel behaviour, recurring types of developing unsafe situations and the nature of VTS interventions.</w:t>
      </w:r>
    </w:p>
    <w:p w14:paraId="1F601D75" w14:textId="77777777" w:rsidR="00884712" w:rsidRPr="00694405" w:rsidRDefault="00884712" w:rsidP="00884712">
      <w:pPr>
        <w:spacing w:before="120" w:after="120" w:line="240" w:lineRule="auto"/>
        <w:ind w:left="360"/>
        <w:rPr>
          <w:rFonts w:eastAsia="Times New Roman" w:cstheme="minorHAnsi"/>
          <w:b/>
          <w:bCs/>
          <w:sz w:val="22"/>
          <w:lang w:val="en-AU" w:eastAsia="en-AU"/>
        </w:rPr>
      </w:pPr>
      <w:r w:rsidRPr="00694405">
        <w:rPr>
          <w:rFonts w:eastAsia="Times New Roman" w:cstheme="minorHAnsi"/>
          <w:b/>
          <w:bCs/>
          <w:sz w:val="22"/>
          <w:lang w:val="en-AU" w:eastAsia="en-AU"/>
        </w:rPr>
        <w:t>2. Introduction or Evolution of Other Safety and Environmental Measures</w:t>
      </w:r>
    </w:p>
    <w:p w14:paraId="4556C9ED" w14:textId="1E0203D6" w:rsidR="00884712" w:rsidRPr="00694405" w:rsidRDefault="003303E1" w:rsidP="00884712">
      <w:pPr>
        <w:spacing w:before="120" w:after="120" w:line="240" w:lineRule="auto"/>
        <w:ind w:left="360"/>
        <w:rPr>
          <w:rFonts w:eastAsia="Times New Roman" w:cstheme="minorHAnsi"/>
          <w:sz w:val="22"/>
          <w:lang w:val="en-AU" w:eastAsia="en-AU"/>
        </w:rPr>
      </w:pPr>
      <w:r>
        <w:rPr>
          <w:b/>
          <w:bCs/>
          <w:noProof/>
          <w:sz w:val="20"/>
          <w:szCs w:val="20"/>
        </w:rPr>
        <w:drawing>
          <wp:anchor distT="0" distB="0" distL="114300" distR="114300" simplePos="0" relativeHeight="251681792" behindDoc="1" locked="0" layoutInCell="1" allowOverlap="1" wp14:anchorId="4E59E1E9" wp14:editId="74F09B7A">
            <wp:simplePos x="0" y="0"/>
            <wp:positionH relativeFrom="column">
              <wp:posOffset>3299155</wp:posOffset>
            </wp:positionH>
            <wp:positionV relativeFrom="paragraph">
              <wp:posOffset>69647</wp:posOffset>
            </wp:positionV>
            <wp:extent cx="3175000" cy="1586230"/>
            <wp:effectExtent l="19050" t="19050" r="25400" b="13970"/>
            <wp:wrapTight wrapText="bothSides">
              <wp:wrapPolygon edited="0">
                <wp:start x="-130" y="-259"/>
                <wp:lineTo x="-130" y="21531"/>
                <wp:lineTo x="21643" y="21531"/>
                <wp:lineTo x="21643" y="-259"/>
                <wp:lineTo x="-130" y="-259"/>
              </wp:wrapPolygon>
            </wp:wrapTight>
            <wp:docPr id="1163056425" name="Picture 4" descr="The diagram illustrates a timeline of various maritime pilotage and environmental legislation measures implemented from 1985 to 2025.&#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056425" name="Picture 4" descr="The diagram illustrates a timeline of various maritime pilotage and environmental legislation measures implemented from 1985 to 2025.&#10;&#10;AI-generated content may be incorrec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175000" cy="1586230"/>
                    </a:xfrm>
                    <a:prstGeom prst="rect">
                      <a:avLst/>
                    </a:prstGeom>
                    <a:ln>
                      <a:solidFill>
                        <a:srgbClr val="00558C"/>
                      </a:solidFill>
                    </a:ln>
                  </pic:spPr>
                </pic:pic>
              </a:graphicData>
            </a:graphic>
            <wp14:sizeRelH relativeFrom="margin">
              <wp14:pctWidth>0</wp14:pctWidth>
            </wp14:sizeRelH>
            <wp14:sizeRelV relativeFrom="margin">
              <wp14:pctHeight>0</wp14:pctHeight>
            </wp14:sizeRelV>
          </wp:anchor>
        </w:drawing>
      </w:r>
      <w:r w:rsidR="00884712" w:rsidRPr="00694405">
        <w:rPr>
          <w:rFonts w:eastAsia="Times New Roman" w:cstheme="minorHAnsi"/>
          <w:sz w:val="22"/>
          <w:lang w:val="en-AU" w:eastAsia="en-AU"/>
        </w:rPr>
        <w:t>To reflect the integrated nature of maritime safety, the dataset should also record the introduction, revision or withdrawal of other measures that may influence navigational safety. Examples include:</w:t>
      </w:r>
    </w:p>
    <w:p w14:paraId="2D8D5A52"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40073C">
        <w:rPr>
          <w:rFonts w:eastAsia="Times New Roman" w:cstheme="minorHAnsi"/>
          <w:b/>
          <w:bCs/>
          <w:lang w:eastAsia="en-AU"/>
        </w:rPr>
        <w:t>Pilotage arrangements</w:t>
      </w:r>
      <w:r w:rsidRPr="00694405">
        <w:rPr>
          <w:rFonts w:eastAsia="Times New Roman" w:cstheme="minorHAnsi"/>
          <w:lang w:eastAsia="en-AU"/>
        </w:rPr>
        <w:t xml:space="preserve"> – introduction of compulsory pilotage, expansion of pilotage zones or changes to pilot boarding locations</w:t>
      </w:r>
    </w:p>
    <w:p w14:paraId="22CED1BC"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40073C">
        <w:rPr>
          <w:rFonts w:eastAsia="Times New Roman" w:cstheme="minorHAnsi"/>
          <w:b/>
          <w:bCs/>
          <w:lang w:eastAsia="en-AU"/>
        </w:rPr>
        <w:t>Routing measures</w:t>
      </w:r>
      <w:r w:rsidRPr="00694405">
        <w:rPr>
          <w:rFonts w:eastAsia="Times New Roman" w:cstheme="minorHAnsi"/>
          <w:lang w:eastAsia="en-AU"/>
        </w:rPr>
        <w:t xml:space="preserve"> – implementation or modification of traffic separation schemes, recommended tracks, precautionary areas or designated shipping routes</w:t>
      </w:r>
    </w:p>
    <w:p w14:paraId="7350D9E2"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40073C">
        <w:rPr>
          <w:rFonts w:eastAsia="Times New Roman" w:cstheme="minorHAnsi"/>
          <w:b/>
          <w:bCs/>
          <w:lang w:eastAsia="en-AU"/>
        </w:rPr>
        <w:t>Decision Support Tools (DSTs)</w:t>
      </w:r>
      <w:r w:rsidRPr="00694405">
        <w:rPr>
          <w:rFonts w:eastAsia="Times New Roman" w:cstheme="minorHAnsi"/>
          <w:lang w:eastAsia="en-AU"/>
        </w:rPr>
        <w:t xml:space="preserve"> – introduction of new or enhanced technologies such as traffic prediction tools, risk assessment modules, integrated decision</w:t>
      </w:r>
      <w:r w:rsidRPr="00694405">
        <w:rPr>
          <w:rFonts w:ascii="Cambria Math" w:eastAsia="Times New Roman" w:hAnsi="Cambria Math" w:cs="Cambria Math"/>
          <w:lang w:eastAsia="en-AU"/>
        </w:rPr>
        <w:t>‑</w:t>
      </w:r>
      <w:r w:rsidRPr="00694405">
        <w:rPr>
          <w:rFonts w:eastAsia="Times New Roman" w:cstheme="minorHAnsi"/>
          <w:lang w:eastAsia="en-AU"/>
        </w:rPr>
        <w:t>support platforms or route</w:t>
      </w:r>
      <w:r w:rsidRPr="00694405">
        <w:rPr>
          <w:rFonts w:ascii="Cambria Math" w:eastAsia="Times New Roman" w:hAnsi="Cambria Math" w:cs="Cambria Math"/>
          <w:lang w:eastAsia="en-AU"/>
        </w:rPr>
        <w:t>‑</w:t>
      </w:r>
      <w:r w:rsidRPr="00694405">
        <w:rPr>
          <w:rFonts w:eastAsia="Times New Roman" w:cstheme="minorHAnsi"/>
          <w:lang w:eastAsia="en-AU"/>
        </w:rPr>
        <w:t>optimisation systems</w:t>
      </w:r>
    </w:p>
    <w:p w14:paraId="7FC3A2F7"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40073C">
        <w:rPr>
          <w:rFonts w:eastAsia="Times New Roman" w:cstheme="minorHAnsi"/>
          <w:b/>
          <w:bCs/>
          <w:lang w:eastAsia="en-AU"/>
        </w:rPr>
        <w:lastRenderedPageBreak/>
        <w:t>Environmental regulations</w:t>
      </w:r>
      <w:r w:rsidRPr="00694405">
        <w:rPr>
          <w:rFonts w:eastAsia="Times New Roman" w:cstheme="minorHAnsi"/>
          <w:lang w:eastAsia="en-AU"/>
        </w:rPr>
        <w:t xml:space="preserve"> – establishment or revision of designated shipping areas, environmentally sensitive areas, speed restrictions, emissions control zones or other regulatory measures</w:t>
      </w:r>
    </w:p>
    <w:p w14:paraId="0F4FE547"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40073C">
        <w:rPr>
          <w:rFonts w:eastAsia="Times New Roman" w:cstheme="minorHAnsi"/>
          <w:b/>
          <w:bCs/>
          <w:lang w:eastAsia="en-AU"/>
        </w:rPr>
        <w:t>Aids to navigation and hydrographic updates</w:t>
      </w:r>
      <w:r w:rsidRPr="00694405">
        <w:rPr>
          <w:rFonts w:eastAsia="Times New Roman" w:cstheme="minorHAnsi"/>
          <w:lang w:eastAsia="en-AU"/>
        </w:rPr>
        <w:t xml:space="preserve"> – installation, removal or modification of aids to navigation, changes to buoyage, updates to charts or hydrographic information</w:t>
      </w:r>
    </w:p>
    <w:p w14:paraId="071B9EE7" w14:textId="77777777" w:rsidR="00884712" w:rsidRPr="00694405" w:rsidRDefault="00884712" w:rsidP="00884712">
      <w:pPr>
        <w:spacing w:before="120" w:after="120" w:line="240" w:lineRule="auto"/>
        <w:ind w:left="708"/>
        <w:rPr>
          <w:rFonts w:eastAsia="Times New Roman" w:cstheme="minorHAnsi"/>
          <w:sz w:val="22"/>
          <w:lang w:val="en-AU" w:eastAsia="en-AU"/>
        </w:rPr>
      </w:pPr>
      <w:r w:rsidRPr="00694405">
        <w:rPr>
          <w:rFonts w:eastAsia="Times New Roman" w:cstheme="minorHAnsi"/>
          <w:sz w:val="22"/>
          <w:lang w:val="en-AU" w:eastAsia="en-AU"/>
        </w:rPr>
        <w:t>These entries should be recorded with their effective date and a brief description of the measure. This allows the dataset to show how the broader safety system evolves and how VTS contribution interacts with these changes.</w:t>
      </w:r>
    </w:p>
    <w:p w14:paraId="49ABA9AE" w14:textId="77777777" w:rsidR="00884712" w:rsidRPr="00694405" w:rsidRDefault="00884712" w:rsidP="00884712">
      <w:pPr>
        <w:spacing w:before="120" w:after="120" w:line="240" w:lineRule="auto"/>
        <w:ind w:left="360"/>
        <w:rPr>
          <w:rFonts w:eastAsia="Times New Roman" w:cstheme="minorHAnsi"/>
          <w:b/>
          <w:bCs/>
          <w:sz w:val="22"/>
          <w:lang w:val="en-AU" w:eastAsia="en-AU"/>
        </w:rPr>
      </w:pPr>
      <w:r w:rsidRPr="00694405">
        <w:rPr>
          <w:rFonts w:eastAsia="Times New Roman" w:cstheme="minorHAnsi"/>
          <w:b/>
          <w:bCs/>
          <w:sz w:val="22"/>
          <w:lang w:val="en-AU" w:eastAsia="en-AU"/>
        </w:rPr>
        <w:t>3. Operational or Procedural Changes within the VTS</w:t>
      </w:r>
    </w:p>
    <w:p w14:paraId="59996707" w14:textId="77777777" w:rsidR="00884712" w:rsidRPr="00694405" w:rsidRDefault="00884712" w:rsidP="00884712">
      <w:pPr>
        <w:spacing w:before="120" w:after="120" w:line="240" w:lineRule="auto"/>
        <w:ind w:left="360"/>
        <w:rPr>
          <w:rFonts w:eastAsia="Times New Roman" w:cstheme="minorHAnsi"/>
          <w:sz w:val="22"/>
          <w:lang w:val="en-AU" w:eastAsia="en-AU"/>
        </w:rPr>
      </w:pPr>
      <w:r w:rsidRPr="00694405">
        <w:rPr>
          <w:rFonts w:eastAsia="Times New Roman" w:cstheme="minorHAnsi"/>
          <w:sz w:val="22"/>
          <w:lang w:val="en-AU" w:eastAsia="en-AU"/>
        </w:rPr>
        <w:t>Changes within the VTS itself should also be recorded, such as:</w:t>
      </w:r>
    </w:p>
    <w:p w14:paraId="6D126A2E"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694405">
        <w:rPr>
          <w:rFonts w:eastAsia="Times New Roman" w:cstheme="minorHAnsi"/>
          <w:lang w:eastAsia="en-AU"/>
        </w:rPr>
        <w:t>updates to VTS operating procedures</w:t>
      </w:r>
    </w:p>
    <w:p w14:paraId="76806377"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694405">
        <w:rPr>
          <w:rFonts w:eastAsia="Times New Roman" w:cstheme="minorHAnsi"/>
          <w:lang w:eastAsia="en-AU"/>
        </w:rPr>
        <w:t>changes in staffing levels, qualifications or training</w:t>
      </w:r>
    </w:p>
    <w:p w14:paraId="3674B6B4"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694405">
        <w:rPr>
          <w:rFonts w:eastAsia="Times New Roman" w:cstheme="minorHAnsi"/>
          <w:lang w:eastAsia="en-AU"/>
        </w:rPr>
        <w:t>introduction of new communication protocols</w:t>
      </w:r>
    </w:p>
    <w:p w14:paraId="3691F594"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694405">
        <w:rPr>
          <w:rFonts w:eastAsia="Times New Roman" w:cstheme="minorHAnsi"/>
          <w:lang w:eastAsia="en-AU"/>
        </w:rPr>
        <w:t>upgrades to surveillance systems (e.g., radar, AIS, CCTV)</w:t>
      </w:r>
    </w:p>
    <w:p w14:paraId="1886EE9B" w14:textId="77777777" w:rsidR="00884712" w:rsidRPr="00694405" w:rsidRDefault="00884712" w:rsidP="00DA78AB">
      <w:pPr>
        <w:pStyle w:val="ListParagraph"/>
        <w:numPr>
          <w:ilvl w:val="0"/>
          <w:numId w:val="41"/>
        </w:numPr>
        <w:spacing w:before="120" w:after="120" w:line="240" w:lineRule="auto"/>
        <w:ind w:left="1428"/>
        <w:rPr>
          <w:rFonts w:eastAsia="Times New Roman" w:cstheme="minorHAnsi"/>
          <w:lang w:eastAsia="en-AU"/>
        </w:rPr>
      </w:pPr>
      <w:r w:rsidRPr="00694405">
        <w:rPr>
          <w:rFonts w:eastAsia="Times New Roman" w:cstheme="minorHAnsi"/>
          <w:lang w:eastAsia="en-AU"/>
        </w:rPr>
        <w:t>changes in sectorisation or VTS area boundaries</w:t>
      </w:r>
    </w:p>
    <w:p w14:paraId="0B7C80DC" w14:textId="77777777" w:rsidR="00884712" w:rsidRPr="00694405" w:rsidRDefault="00884712" w:rsidP="00884712">
      <w:pPr>
        <w:spacing w:before="120" w:after="120" w:line="240" w:lineRule="auto"/>
        <w:ind w:left="360"/>
        <w:rPr>
          <w:rFonts w:eastAsia="Times New Roman" w:cstheme="minorHAnsi"/>
          <w:sz w:val="22"/>
          <w:lang w:val="en-AU" w:eastAsia="en-AU"/>
        </w:rPr>
      </w:pPr>
      <w:r w:rsidRPr="00694405">
        <w:rPr>
          <w:rFonts w:eastAsia="Times New Roman" w:cstheme="minorHAnsi"/>
          <w:sz w:val="22"/>
          <w:lang w:val="en-AU" w:eastAsia="en-AU"/>
        </w:rPr>
        <w:t>These entries help contextualise changes in VTS contribution over time and support interpretation of trends.</w:t>
      </w:r>
    </w:p>
    <w:p w14:paraId="42683583" w14:textId="77777777" w:rsidR="00884712" w:rsidRPr="00694405" w:rsidRDefault="00884712" w:rsidP="00884712">
      <w:pPr>
        <w:spacing w:before="120" w:after="120" w:line="240" w:lineRule="auto"/>
        <w:ind w:left="360"/>
        <w:rPr>
          <w:rFonts w:eastAsia="Times New Roman" w:cstheme="minorHAnsi"/>
          <w:b/>
          <w:bCs/>
          <w:sz w:val="22"/>
          <w:lang w:val="en-AU" w:eastAsia="en-AU"/>
        </w:rPr>
      </w:pPr>
      <w:r w:rsidRPr="00694405">
        <w:rPr>
          <w:rFonts w:eastAsia="Times New Roman" w:cstheme="minorHAnsi"/>
          <w:b/>
          <w:bCs/>
          <w:sz w:val="22"/>
          <w:lang w:val="en-AU" w:eastAsia="en-AU"/>
        </w:rPr>
        <w:t>4. External Influences</w:t>
      </w:r>
    </w:p>
    <w:p w14:paraId="32D9C845" w14:textId="77777777" w:rsidR="00884712" w:rsidRPr="00694405" w:rsidRDefault="00884712" w:rsidP="00884712">
      <w:pPr>
        <w:spacing w:before="120" w:after="120" w:line="240" w:lineRule="auto"/>
        <w:ind w:left="360"/>
        <w:rPr>
          <w:rFonts w:eastAsia="Times New Roman" w:cstheme="minorHAnsi"/>
          <w:sz w:val="22"/>
          <w:lang w:val="en-AU" w:eastAsia="en-AU"/>
        </w:rPr>
      </w:pPr>
      <w:r w:rsidRPr="00694405">
        <w:rPr>
          <w:rFonts w:eastAsia="Times New Roman" w:cstheme="minorHAnsi"/>
          <w:sz w:val="22"/>
          <w:lang w:val="en-AU" w:eastAsia="en-AU"/>
        </w:rPr>
        <w:t>Where relevant, the dataset may include external factors that could influence vessel behaviour or VTS operations, such as:</w:t>
      </w:r>
    </w:p>
    <w:p w14:paraId="67E4C532" w14:textId="77777777" w:rsidR="00884712" w:rsidRPr="00694405" w:rsidRDefault="00884712" w:rsidP="00DA78AB">
      <w:pPr>
        <w:pStyle w:val="ListParagraph"/>
        <w:numPr>
          <w:ilvl w:val="0"/>
          <w:numId w:val="41"/>
        </w:numPr>
        <w:spacing w:before="120" w:after="120" w:line="240" w:lineRule="auto"/>
        <w:rPr>
          <w:rFonts w:eastAsia="Times New Roman" w:cstheme="minorHAnsi"/>
          <w:lang w:eastAsia="en-AU"/>
        </w:rPr>
      </w:pPr>
      <w:r w:rsidRPr="00694405">
        <w:rPr>
          <w:rFonts w:eastAsia="Times New Roman" w:cstheme="minorHAnsi"/>
          <w:lang w:eastAsia="en-AU"/>
        </w:rPr>
        <w:t>significant weather events</w:t>
      </w:r>
    </w:p>
    <w:p w14:paraId="4E6E0FF7" w14:textId="77777777" w:rsidR="00884712" w:rsidRPr="00694405" w:rsidRDefault="00884712" w:rsidP="00DA78AB">
      <w:pPr>
        <w:pStyle w:val="ListParagraph"/>
        <w:numPr>
          <w:ilvl w:val="0"/>
          <w:numId w:val="41"/>
        </w:numPr>
        <w:spacing w:before="120" w:after="120" w:line="240" w:lineRule="auto"/>
        <w:rPr>
          <w:rFonts w:eastAsia="Times New Roman" w:cstheme="minorHAnsi"/>
          <w:lang w:eastAsia="en-AU"/>
        </w:rPr>
      </w:pPr>
      <w:r w:rsidRPr="00694405">
        <w:rPr>
          <w:rFonts w:eastAsia="Times New Roman" w:cstheme="minorHAnsi"/>
          <w:lang w:eastAsia="en-AU"/>
        </w:rPr>
        <w:t>major port developments</w:t>
      </w:r>
    </w:p>
    <w:p w14:paraId="6F6759C8" w14:textId="77777777" w:rsidR="00884712" w:rsidRPr="00694405" w:rsidRDefault="00884712" w:rsidP="00DA78AB">
      <w:pPr>
        <w:pStyle w:val="ListParagraph"/>
        <w:numPr>
          <w:ilvl w:val="0"/>
          <w:numId w:val="41"/>
        </w:numPr>
        <w:spacing w:before="120" w:after="120" w:line="240" w:lineRule="auto"/>
        <w:rPr>
          <w:rFonts w:eastAsia="Times New Roman" w:cstheme="minorHAnsi"/>
          <w:lang w:eastAsia="en-AU"/>
        </w:rPr>
      </w:pPr>
      <w:r w:rsidRPr="00694405">
        <w:rPr>
          <w:rFonts w:eastAsia="Times New Roman" w:cstheme="minorHAnsi"/>
          <w:lang w:eastAsia="en-AU"/>
        </w:rPr>
        <w:t>changes in traffic patterns</w:t>
      </w:r>
    </w:p>
    <w:p w14:paraId="6AEC52CD" w14:textId="77777777" w:rsidR="00884712" w:rsidRPr="00694405" w:rsidRDefault="00884712" w:rsidP="00DA78AB">
      <w:pPr>
        <w:pStyle w:val="ListParagraph"/>
        <w:numPr>
          <w:ilvl w:val="0"/>
          <w:numId w:val="41"/>
        </w:numPr>
        <w:spacing w:before="120" w:after="120" w:line="240" w:lineRule="auto"/>
        <w:rPr>
          <w:rFonts w:eastAsia="Times New Roman" w:cstheme="minorHAnsi"/>
          <w:lang w:eastAsia="en-AU"/>
        </w:rPr>
      </w:pPr>
      <w:r w:rsidRPr="00694405">
        <w:rPr>
          <w:rFonts w:eastAsia="Times New Roman" w:cstheme="minorHAnsi"/>
          <w:lang w:eastAsia="en-AU"/>
        </w:rPr>
        <w:t>introduction of new shipping services or vessel types</w:t>
      </w:r>
    </w:p>
    <w:p w14:paraId="07317A23" w14:textId="77777777" w:rsidR="00884712" w:rsidRPr="00694405" w:rsidRDefault="00884712" w:rsidP="00884712">
      <w:pPr>
        <w:spacing w:before="120" w:after="120" w:line="240" w:lineRule="auto"/>
        <w:ind w:left="360"/>
        <w:rPr>
          <w:rFonts w:eastAsia="Times New Roman" w:cstheme="minorHAnsi"/>
          <w:sz w:val="22"/>
          <w:lang w:val="en-AU" w:eastAsia="en-AU"/>
        </w:rPr>
      </w:pPr>
      <w:r w:rsidRPr="00694405">
        <w:rPr>
          <w:rFonts w:eastAsia="Times New Roman" w:cstheme="minorHAnsi"/>
          <w:sz w:val="22"/>
          <w:lang w:val="en-AU" w:eastAsia="en-AU"/>
        </w:rPr>
        <w:t>These factors are not part of VTS contribution but may help explain observed trends.</w:t>
      </w:r>
    </w:p>
    <w:p w14:paraId="10274757" w14:textId="77777777" w:rsidR="00884712" w:rsidRPr="00694405" w:rsidRDefault="00884712" w:rsidP="00884712">
      <w:pPr>
        <w:spacing w:before="120" w:after="120" w:line="240" w:lineRule="auto"/>
        <w:ind w:left="360"/>
        <w:rPr>
          <w:rFonts w:eastAsia="Times New Roman" w:cstheme="minorHAnsi"/>
          <w:b/>
          <w:bCs/>
          <w:sz w:val="22"/>
          <w:lang w:val="en-AU" w:eastAsia="en-AU"/>
        </w:rPr>
      </w:pPr>
      <w:r w:rsidRPr="00694405">
        <w:rPr>
          <w:rFonts w:eastAsia="Times New Roman" w:cstheme="minorHAnsi"/>
          <w:b/>
          <w:bCs/>
          <w:sz w:val="22"/>
          <w:lang w:val="en-AU" w:eastAsia="en-AU"/>
        </w:rPr>
        <w:t>5. Volume of Traffic</w:t>
      </w:r>
    </w:p>
    <w:p w14:paraId="4DE8980A" w14:textId="77777777" w:rsidR="00884712" w:rsidRPr="00694405" w:rsidRDefault="00884712" w:rsidP="00884712">
      <w:pPr>
        <w:spacing w:before="120" w:after="120" w:line="240" w:lineRule="auto"/>
        <w:ind w:left="360"/>
        <w:rPr>
          <w:rFonts w:eastAsia="Times New Roman" w:cstheme="minorHAnsi"/>
          <w:sz w:val="22"/>
          <w:lang w:val="en-AU" w:eastAsia="en-AU"/>
        </w:rPr>
      </w:pPr>
      <w:r w:rsidRPr="00694405">
        <w:rPr>
          <w:rFonts w:eastAsia="Times New Roman" w:cstheme="minorHAnsi"/>
          <w:sz w:val="22"/>
          <w:lang w:val="en-AU" w:eastAsia="en-AU"/>
        </w:rPr>
        <w:t>The time</w:t>
      </w:r>
      <w:r w:rsidRPr="00694405">
        <w:rPr>
          <w:rFonts w:ascii="Cambria Math" w:eastAsia="Times New Roman" w:hAnsi="Cambria Math" w:cs="Cambria Math"/>
          <w:sz w:val="22"/>
          <w:lang w:val="en-AU" w:eastAsia="en-AU"/>
        </w:rPr>
        <w:t>‑</w:t>
      </w:r>
      <w:r w:rsidRPr="00694405">
        <w:rPr>
          <w:rFonts w:eastAsia="Times New Roman" w:cstheme="minorHAnsi"/>
          <w:sz w:val="22"/>
          <w:lang w:val="en-AU" w:eastAsia="en-AU"/>
        </w:rPr>
        <w:t>series dataset should include the volume of traffic (e.g., number of transits) to enable the data to be normalised where appropriate (refer Section 3.3.10).</w:t>
      </w:r>
    </w:p>
    <w:p w14:paraId="6F1DA3C0" w14:textId="77777777" w:rsidR="00884712" w:rsidRPr="006423DC" w:rsidRDefault="00884712" w:rsidP="00884712">
      <w:pPr>
        <w:pStyle w:val="Heading3"/>
        <w:rPr>
          <w:lang w:val="en-AU" w:eastAsia="en-AU"/>
        </w:rPr>
      </w:pPr>
      <w:bookmarkStart w:id="24" w:name="_Toc235197775"/>
      <w:bookmarkStart w:id="25" w:name="_Toc238036118"/>
      <w:r w:rsidRPr="006423DC">
        <w:rPr>
          <w:lang w:val="en-AU" w:eastAsia="en-AU"/>
        </w:rPr>
        <w:t>Purpose of the Time</w:t>
      </w:r>
      <w:r w:rsidRPr="006423DC">
        <w:rPr>
          <w:lang w:val="en-AU" w:eastAsia="en-AU"/>
        </w:rPr>
        <w:noBreakHyphen/>
        <w:t>Series Dataset</w:t>
      </w:r>
      <w:bookmarkEnd w:id="24"/>
      <w:bookmarkEnd w:id="25"/>
    </w:p>
    <w:p w14:paraId="69D60759" w14:textId="2855B31A" w:rsidR="00884712" w:rsidRPr="00A06E7E" w:rsidRDefault="00884712" w:rsidP="00884712">
      <w:pPr>
        <w:spacing w:before="120" w:after="120" w:line="240" w:lineRule="auto"/>
        <w:rPr>
          <w:rFonts w:eastAsia="Times New Roman" w:cstheme="minorHAnsi"/>
          <w:sz w:val="20"/>
          <w:szCs w:val="20"/>
          <w:lang w:val="en-AU" w:eastAsia="en-AU"/>
        </w:rPr>
      </w:pPr>
      <w:r w:rsidRPr="00E2205C">
        <w:rPr>
          <w:rFonts w:eastAsia="Times New Roman" w:cstheme="minorHAnsi"/>
          <w:sz w:val="20"/>
          <w:szCs w:val="20"/>
          <w:lang w:val="en-AU" w:eastAsia="en-AU"/>
        </w:rPr>
        <w:t xml:space="preserve">This subsection outlines the </w:t>
      </w:r>
      <w:r w:rsidR="00126997">
        <w:rPr>
          <w:rFonts w:eastAsia="Times New Roman" w:cstheme="minorHAnsi"/>
          <w:sz w:val="20"/>
          <w:szCs w:val="20"/>
          <w:lang w:val="en-AU" w:eastAsia="en-AU"/>
        </w:rPr>
        <w:t xml:space="preserve">e </w:t>
      </w:r>
      <w:r w:rsidRPr="00E2205C">
        <w:rPr>
          <w:rFonts w:eastAsia="Times New Roman" w:cstheme="minorHAnsi"/>
          <w:sz w:val="20"/>
          <w:szCs w:val="20"/>
          <w:lang w:val="en-AU" w:eastAsia="en-AU"/>
        </w:rPr>
        <w:t>role of the time series dataset in demonstrating trends, identifying changes in operational risk, and supporting evidence-based assessments of VTS contribution</w:t>
      </w:r>
      <w:r w:rsidRPr="006B1F19">
        <w:rPr>
          <w:rFonts w:eastAsia="Times New Roman" w:cstheme="minorHAnsi"/>
          <w:sz w:val="20"/>
          <w:szCs w:val="20"/>
          <w:lang w:val="en-AU" w:eastAsia="en-AU"/>
        </w:rPr>
        <w:t>.</w:t>
      </w:r>
      <w:r w:rsidR="00126997">
        <w:rPr>
          <w:rFonts w:eastAsia="Times New Roman" w:cstheme="minorHAnsi"/>
          <w:sz w:val="20"/>
          <w:szCs w:val="20"/>
          <w:lang w:val="en-AU" w:eastAsia="en-AU"/>
        </w:rPr>
        <w:t xml:space="preserve"> </w:t>
      </w:r>
      <w:r w:rsidRPr="00A06E7E">
        <w:rPr>
          <w:rFonts w:eastAsia="Times New Roman" w:cstheme="minorHAnsi"/>
          <w:sz w:val="20"/>
          <w:szCs w:val="20"/>
          <w:lang w:val="en-AU" w:eastAsia="en-AU"/>
        </w:rPr>
        <w:t>The combined dataset enables</w:t>
      </w:r>
      <w:r w:rsidR="00175F16">
        <w:rPr>
          <w:rFonts w:eastAsia="Times New Roman" w:cstheme="minorHAnsi"/>
          <w:sz w:val="20"/>
          <w:szCs w:val="20"/>
          <w:lang w:val="en-AU" w:eastAsia="en-AU"/>
        </w:rPr>
        <w:t xml:space="preserve"> a</w:t>
      </w:r>
      <w:r w:rsidRPr="00A06E7E">
        <w:rPr>
          <w:rFonts w:eastAsia="Times New Roman" w:cstheme="minorHAnsi"/>
          <w:sz w:val="20"/>
          <w:szCs w:val="20"/>
          <w:lang w:val="en-AU" w:eastAsia="en-AU"/>
        </w:rPr>
        <w:t xml:space="preserve"> VTS to:</w:t>
      </w:r>
    </w:p>
    <w:p w14:paraId="52E4CC2E" w14:textId="77777777" w:rsidR="00884712" w:rsidRPr="00A06E7E" w:rsidRDefault="00884712" w:rsidP="00DA78AB">
      <w:pPr>
        <w:numPr>
          <w:ilvl w:val="0"/>
          <w:numId w:val="26"/>
        </w:numPr>
        <w:spacing w:before="120" w:after="120" w:line="240" w:lineRule="auto"/>
        <w:rPr>
          <w:rFonts w:eastAsia="Times New Roman" w:cstheme="minorHAnsi"/>
          <w:sz w:val="20"/>
          <w:szCs w:val="20"/>
          <w:lang w:val="en-AU" w:eastAsia="en-AU"/>
        </w:rPr>
      </w:pPr>
      <w:r w:rsidRPr="00A06E7E">
        <w:rPr>
          <w:rFonts w:eastAsia="Times New Roman" w:cstheme="minorHAnsi"/>
          <w:sz w:val="20"/>
          <w:szCs w:val="20"/>
          <w:lang w:val="en-AU" w:eastAsia="en-AU"/>
        </w:rPr>
        <w:t>demonstrate VTS contribution over time;</w:t>
      </w:r>
    </w:p>
    <w:p w14:paraId="2E79DB4D" w14:textId="77777777" w:rsidR="00884712" w:rsidRPr="00A06E7E" w:rsidRDefault="00884712" w:rsidP="00DA78AB">
      <w:pPr>
        <w:numPr>
          <w:ilvl w:val="0"/>
          <w:numId w:val="26"/>
        </w:numPr>
        <w:spacing w:before="120" w:after="120" w:line="240" w:lineRule="auto"/>
        <w:rPr>
          <w:rFonts w:eastAsia="Times New Roman" w:cstheme="minorHAnsi"/>
          <w:sz w:val="20"/>
          <w:szCs w:val="20"/>
          <w:lang w:val="en-AU" w:eastAsia="en-AU"/>
        </w:rPr>
      </w:pPr>
      <w:r w:rsidRPr="00A06E7E">
        <w:rPr>
          <w:rFonts w:eastAsia="Times New Roman" w:cstheme="minorHAnsi"/>
          <w:sz w:val="20"/>
          <w:szCs w:val="20"/>
          <w:lang w:val="en-AU" w:eastAsia="en-AU"/>
        </w:rPr>
        <w:t>contextualise VTS interactions within the broader safety system;</w:t>
      </w:r>
    </w:p>
    <w:p w14:paraId="13DEE39B" w14:textId="77777777" w:rsidR="00884712" w:rsidRPr="00A06E7E" w:rsidRDefault="00884712" w:rsidP="00DA78AB">
      <w:pPr>
        <w:numPr>
          <w:ilvl w:val="0"/>
          <w:numId w:val="26"/>
        </w:numPr>
        <w:spacing w:before="120" w:after="120" w:line="240" w:lineRule="auto"/>
        <w:rPr>
          <w:rFonts w:eastAsia="Times New Roman" w:cstheme="minorHAnsi"/>
          <w:sz w:val="20"/>
          <w:szCs w:val="20"/>
          <w:lang w:val="en-AU" w:eastAsia="en-AU"/>
        </w:rPr>
      </w:pPr>
      <w:r w:rsidRPr="00A06E7E">
        <w:rPr>
          <w:rFonts w:eastAsia="Times New Roman" w:cstheme="minorHAnsi"/>
          <w:sz w:val="20"/>
          <w:szCs w:val="20"/>
          <w:lang w:val="en-AU" w:eastAsia="en-AU"/>
        </w:rPr>
        <w:t>identify trends in developing unsafe situations;</w:t>
      </w:r>
    </w:p>
    <w:p w14:paraId="68CE617C" w14:textId="77777777" w:rsidR="00884712" w:rsidRPr="00A06E7E" w:rsidRDefault="00884712" w:rsidP="00DA78AB">
      <w:pPr>
        <w:numPr>
          <w:ilvl w:val="0"/>
          <w:numId w:val="26"/>
        </w:numPr>
        <w:spacing w:before="120" w:after="120" w:line="240" w:lineRule="auto"/>
        <w:rPr>
          <w:rFonts w:eastAsia="Times New Roman" w:cstheme="minorHAnsi"/>
          <w:sz w:val="20"/>
          <w:szCs w:val="20"/>
          <w:lang w:val="en-AU" w:eastAsia="en-AU"/>
        </w:rPr>
      </w:pPr>
      <w:r w:rsidRPr="00A06E7E">
        <w:rPr>
          <w:rFonts w:eastAsia="Times New Roman" w:cstheme="minorHAnsi"/>
          <w:sz w:val="20"/>
          <w:szCs w:val="20"/>
          <w:lang w:val="en-AU" w:eastAsia="en-AU"/>
        </w:rPr>
        <w:t>understand how changes in other measures influence outcomes;</w:t>
      </w:r>
    </w:p>
    <w:p w14:paraId="507ECA62" w14:textId="77777777" w:rsidR="00884712" w:rsidRPr="00A06E7E" w:rsidRDefault="00884712" w:rsidP="00DA78AB">
      <w:pPr>
        <w:numPr>
          <w:ilvl w:val="0"/>
          <w:numId w:val="26"/>
        </w:numPr>
        <w:spacing w:before="120" w:after="120" w:line="240" w:lineRule="auto"/>
        <w:rPr>
          <w:rFonts w:eastAsia="Times New Roman" w:cstheme="minorHAnsi"/>
          <w:sz w:val="20"/>
          <w:szCs w:val="20"/>
          <w:lang w:val="en-AU" w:eastAsia="en-AU"/>
        </w:rPr>
      </w:pPr>
      <w:r w:rsidRPr="00A06E7E">
        <w:rPr>
          <w:rFonts w:eastAsia="Times New Roman" w:cstheme="minorHAnsi"/>
          <w:sz w:val="20"/>
          <w:szCs w:val="20"/>
          <w:lang w:val="en-AU" w:eastAsia="en-AU"/>
        </w:rPr>
        <w:t>support audits, evaluations and stakeholder communication;</w:t>
      </w:r>
    </w:p>
    <w:p w14:paraId="2B26E081" w14:textId="77777777" w:rsidR="00884712" w:rsidRPr="00A06E7E" w:rsidRDefault="00884712" w:rsidP="00DA78AB">
      <w:pPr>
        <w:numPr>
          <w:ilvl w:val="0"/>
          <w:numId w:val="26"/>
        </w:numPr>
        <w:spacing w:before="120" w:after="120" w:line="240" w:lineRule="auto"/>
        <w:rPr>
          <w:rFonts w:eastAsia="Times New Roman" w:cstheme="minorHAnsi"/>
          <w:sz w:val="20"/>
          <w:szCs w:val="20"/>
          <w:lang w:val="en-AU" w:eastAsia="en-AU"/>
        </w:rPr>
      </w:pPr>
      <w:r w:rsidRPr="00A06E7E">
        <w:rPr>
          <w:rFonts w:eastAsia="Times New Roman" w:cstheme="minorHAnsi"/>
          <w:sz w:val="20"/>
          <w:szCs w:val="20"/>
          <w:lang w:val="en-AU" w:eastAsia="en-AU"/>
        </w:rPr>
        <w:t>provide a structured evidence base for assurance activities.</w:t>
      </w:r>
    </w:p>
    <w:p w14:paraId="0D7F729C" w14:textId="77777777" w:rsidR="00884712" w:rsidRPr="00A06E7E" w:rsidRDefault="00884712" w:rsidP="00884712">
      <w:pPr>
        <w:spacing w:before="120" w:after="120" w:line="240" w:lineRule="auto"/>
        <w:rPr>
          <w:rFonts w:eastAsia="Times New Roman" w:cstheme="minorHAnsi"/>
          <w:sz w:val="20"/>
          <w:szCs w:val="20"/>
          <w:lang w:val="en-AU" w:eastAsia="en-AU"/>
        </w:rPr>
      </w:pPr>
      <w:r w:rsidRPr="00A06E7E">
        <w:rPr>
          <w:rFonts w:eastAsia="Times New Roman" w:cstheme="minorHAnsi"/>
          <w:sz w:val="20"/>
          <w:szCs w:val="20"/>
          <w:lang w:val="en-AU" w:eastAsia="en-AU"/>
        </w:rPr>
        <w:t>This structure ensures that VTS contribution is interpreted accurately and consistently, without isolating VTS from the wider system of complementary safety and environmental measures</w:t>
      </w:r>
    </w:p>
    <w:p w14:paraId="6D5C718F" w14:textId="77777777" w:rsidR="00884712" w:rsidRPr="00226375" w:rsidRDefault="00884712" w:rsidP="00884712">
      <w:pPr>
        <w:pStyle w:val="Heading3"/>
        <w:rPr>
          <w:rFonts w:eastAsia="Times New Roman"/>
          <w:lang w:val="en-AU" w:eastAsia="en-AU"/>
        </w:rPr>
      </w:pPr>
      <w:bookmarkStart w:id="26" w:name="_Toc235197776"/>
      <w:bookmarkStart w:id="27" w:name="_Toc238036119"/>
      <w:r>
        <w:rPr>
          <w:rFonts w:eastAsia="Times New Roman"/>
          <w:lang w:val="en-AU" w:eastAsia="en-AU"/>
        </w:rPr>
        <w:t>Categorisation of interactions</w:t>
      </w:r>
      <w:bookmarkEnd w:id="26"/>
      <w:bookmarkEnd w:id="27"/>
    </w:p>
    <w:p w14:paraId="0E7D5F35" w14:textId="510A7D03" w:rsidR="00884712" w:rsidRDefault="00884712" w:rsidP="00884712">
      <w:pPr>
        <w:spacing w:before="100" w:beforeAutospacing="1" w:after="100" w:afterAutospacing="1" w:line="240" w:lineRule="auto"/>
        <w:rPr>
          <w:rFonts w:eastAsia="Times New Roman" w:cstheme="minorHAnsi"/>
          <w:sz w:val="22"/>
          <w:lang w:val="en-AU" w:eastAsia="en-AU"/>
        </w:rPr>
      </w:pPr>
      <w:r w:rsidRPr="00611D45">
        <w:rPr>
          <w:rFonts w:eastAsia="Times New Roman" w:cstheme="minorHAnsi"/>
          <w:sz w:val="22"/>
          <w:lang w:val="en-AU" w:eastAsia="en-AU"/>
        </w:rPr>
        <w:t>VTS interactions should be categorised to ensure clarity and consistency when analysing their impact on developing unsafe situations</w:t>
      </w:r>
      <w:r w:rsidRPr="00910911">
        <w:rPr>
          <w:rFonts w:eastAsia="Times New Roman" w:cstheme="minorHAnsi"/>
          <w:sz w:val="22"/>
          <w:lang w:val="en-AU" w:eastAsia="en-AU"/>
        </w:rPr>
        <w:t>.</w:t>
      </w:r>
    </w:p>
    <w:p w14:paraId="7ABA293A" w14:textId="77777777" w:rsidR="00884712" w:rsidRDefault="00884712" w:rsidP="00884712">
      <w:pPr>
        <w:spacing w:before="100" w:beforeAutospacing="1" w:after="100" w:afterAutospacing="1" w:line="240" w:lineRule="auto"/>
        <w:rPr>
          <w:rFonts w:eastAsia="Times New Roman" w:cstheme="minorHAnsi"/>
          <w:sz w:val="22"/>
          <w:lang w:val="en-AU" w:eastAsia="en-AU"/>
        </w:rPr>
      </w:pPr>
      <w:r w:rsidRPr="00FB04E0">
        <w:rPr>
          <w:rFonts w:eastAsia="Times New Roman" w:cstheme="minorHAnsi"/>
          <w:sz w:val="22"/>
          <w:lang w:val="en-AU" w:eastAsia="en-AU"/>
        </w:rPr>
        <w:t xml:space="preserve">VTS achieves its purpose through the issue of advice, warnings and instructions, as defined in Standard Marine Communication Phrases and used as message markers in accordance with IMO guidance. These interactions are </w:t>
      </w:r>
      <w:r w:rsidRPr="00FB04E0">
        <w:rPr>
          <w:rFonts w:eastAsia="Times New Roman" w:cstheme="minorHAnsi"/>
          <w:sz w:val="22"/>
          <w:lang w:val="en-AU" w:eastAsia="en-AU"/>
        </w:rPr>
        <w:lastRenderedPageBreak/>
        <w:t>undertaken in response to developing unsafe situations observed by the VTS or reported by vessels. Categorising interactions consistently supports clear interpretation of VTS contribution within the time</w:t>
      </w:r>
      <w:r w:rsidRPr="00FB04E0">
        <w:rPr>
          <w:rFonts w:ascii="Cambria Math" w:eastAsia="Times New Roman" w:hAnsi="Cambria Math" w:cs="Cambria Math"/>
          <w:sz w:val="22"/>
          <w:lang w:val="en-AU" w:eastAsia="en-AU"/>
        </w:rPr>
        <w:t>‑</w:t>
      </w:r>
      <w:r w:rsidRPr="00FB04E0">
        <w:rPr>
          <w:rFonts w:eastAsia="Times New Roman" w:cstheme="minorHAnsi"/>
          <w:sz w:val="22"/>
          <w:lang w:val="en-AU" w:eastAsia="en-AU"/>
        </w:rPr>
        <w:t>series dataset.</w:t>
      </w:r>
    </w:p>
    <w:p w14:paraId="52CC8005" w14:textId="77777777" w:rsidR="00884712" w:rsidRPr="00FB04E0" w:rsidRDefault="00884712" w:rsidP="00884712">
      <w:pPr>
        <w:spacing w:before="100" w:beforeAutospacing="1" w:after="100" w:afterAutospacing="1" w:line="240" w:lineRule="auto"/>
        <w:ind w:left="360"/>
        <w:rPr>
          <w:rFonts w:eastAsia="Times New Roman" w:cstheme="minorHAnsi"/>
          <w:b/>
          <w:bCs/>
          <w:sz w:val="22"/>
          <w:lang w:val="en-AU" w:eastAsia="en-AU"/>
        </w:rPr>
      </w:pPr>
      <w:r w:rsidRPr="00FB04E0">
        <w:rPr>
          <w:rFonts w:eastAsia="Times New Roman" w:cstheme="minorHAnsi"/>
          <w:b/>
          <w:bCs/>
          <w:sz w:val="22"/>
          <w:lang w:val="en-AU" w:eastAsia="en-AU"/>
        </w:rPr>
        <w:t>1. Message Markers</w:t>
      </w:r>
    </w:p>
    <w:p w14:paraId="0A5813AA" w14:textId="77777777" w:rsidR="00884712" w:rsidRPr="00FB04E0" w:rsidRDefault="00884712" w:rsidP="00884712">
      <w:pPr>
        <w:spacing w:before="120" w:after="120" w:line="240" w:lineRule="auto"/>
        <w:ind w:left="360"/>
        <w:rPr>
          <w:rFonts w:eastAsia="Times New Roman" w:cstheme="minorHAnsi"/>
          <w:sz w:val="22"/>
          <w:lang w:val="en-AU" w:eastAsia="en-AU"/>
        </w:rPr>
      </w:pPr>
      <w:r w:rsidRPr="00FB04E0">
        <w:rPr>
          <w:rFonts w:eastAsia="Times New Roman" w:cstheme="minorHAnsi"/>
          <w:sz w:val="22"/>
          <w:lang w:val="en-AU" w:eastAsia="en-AU"/>
        </w:rPr>
        <w:t>The following message markers should be used when recording VTS interactions:</w:t>
      </w:r>
    </w:p>
    <w:p w14:paraId="6FF71E0C" w14:textId="77777777" w:rsidR="00884712" w:rsidRPr="00FB04E0" w:rsidRDefault="00884712" w:rsidP="00DA78AB">
      <w:pPr>
        <w:pStyle w:val="ListParagraph"/>
        <w:numPr>
          <w:ilvl w:val="0"/>
          <w:numId w:val="41"/>
        </w:numPr>
        <w:spacing w:before="120" w:after="120" w:line="240" w:lineRule="auto"/>
        <w:ind w:left="1428"/>
        <w:contextualSpacing w:val="0"/>
        <w:rPr>
          <w:rFonts w:eastAsia="Times New Roman" w:cstheme="minorHAnsi"/>
          <w:lang w:eastAsia="en-AU"/>
        </w:rPr>
      </w:pPr>
      <w:r w:rsidRPr="00CF683E">
        <w:rPr>
          <w:rFonts w:eastAsia="Times New Roman" w:cstheme="minorHAnsi"/>
          <w:b/>
          <w:bCs/>
          <w:lang w:eastAsia="en-AU"/>
        </w:rPr>
        <w:t>Advice</w:t>
      </w:r>
      <w:r w:rsidRPr="00FB04E0">
        <w:rPr>
          <w:rFonts w:eastAsia="Times New Roman" w:cstheme="minorHAnsi"/>
          <w:lang w:eastAsia="en-AU"/>
        </w:rPr>
        <w:t xml:space="preserve"> – information provided to assist the vessel in making safe and efficient navigational decisions.</w:t>
      </w:r>
    </w:p>
    <w:p w14:paraId="7648A286" w14:textId="77777777" w:rsidR="00884712" w:rsidRPr="00FB04E0" w:rsidRDefault="00884712" w:rsidP="00DA78AB">
      <w:pPr>
        <w:pStyle w:val="ListParagraph"/>
        <w:numPr>
          <w:ilvl w:val="0"/>
          <w:numId w:val="41"/>
        </w:numPr>
        <w:spacing w:before="120" w:after="120" w:line="240" w:lineRule="auto"/>
        <w:ind w:left="1428"/>
        <w:contextualSpacing w:val="0"/>
        <w:rPr>
          <w:rFonts w:eastAsia="Times New Roman" w:cstheme="minorHAnsi"/>
          <w:lang w:eastAsia="en-AU"/>
        </w:rPr>
      </w:pPr>
      <w:r w:rsidRPr="00CF683E">
        <w:rPr>
          <w:rFonts w:eastAsia="Times New Roman" w:cstheme="minorHAnsi"/>
          <w:b/>
          <w:bCs/>
          <w:lang w:eastAsia="en-AU"/>
        </w:rPr>
        <w:t>Warning</w:t>
      </w:r>
      <w:r w:rsidRPr="00FB04E0">
        <w:rPr>
          <w:rFonts w:eastAsia="Times New Roman" w:cstheme="minorHAnsi"/>
          <w:lang w:eastAsia="en-AU"/>
        </w:rPr>
        <w:t xml:space="preserve"> – information provided to alert the vessel to a hazard or developing unsafe situation.</w:t>
      </w:r>
    </w:p>
    <w:p w14:paraId="5B8FEBBC" w14:textId="77777777" w:rsidR="00884712" w:rsidRPr="00FB04E0" w:rsidRDefault="00884712" w:rsidP="00DA78AB">
      <w:pPr>
        <w:pStyle w:val="ListParagraph"/>
        <w:numPr>
          <w:ilvl w:val="0"/>
          <w:numId w:val="41"/>
        </w:numPr>
        <w:spacing w:before="120" w:after="120" w:line="240" w:lineRule="auto"/>
        <w:ind w:left="1428"/>
        <w:contextualSpacing w:val="0"/>
        <w:rPr>
          <w:rFonts w:eastAsia="Times New Roman" w:cstheme="minorHAnsi"/>
          <w:lang w:eastAsia="en-AU"/>
        </w:rPr>
      </w:pPr>
      <w:r w:rsidRPr="00CF683E">
        <w:rPr>
          <w:rFonts w:eastAsia="Times New Roman" w:cstheme="minorHAnsi"/>
          <w:b/>
          <w:bCs/>
          <w:lang w:eastAsia="en-AU"/>
        </w:rPr>
        <w:t>Instruction</w:t>
      </w:r>
      <w:r w:rsidRPr="00FB04E0">
        <w:rPr>
          <w:rFonts w:eastAsia="Times New Roman" w:cstheme="minorHAnsi"/>
          <w:lang w:eastAsia="en-AU"/>
        </w:rPr>
        <w:t xml:space="preserve"> – a directive issued by the VTS when necessary to prevent or mitigate a developing unsafe situation, consistent with VTS authority and the IMO VTS Guidelines.</w:t>
      </w:r>
    </w:p>
    <w:p w14:paraId="3B536B48" w14:textId="21EFA346" w:rsidR="00884712" w:rsidRPr="00FB04E0" w:rsidRDefault="00884712" w:rsidP="00884712">
      <w:pPr>
        <w:spacing w:before="120" w:after="120" w:line="240" w:lineRule="auto"/>
        <w:ind w:left="360"/>
        <w:rPr>
          <w:rFonts w:eastAsia="Times New Roman" w:cstheme="minorHAnsi"/>
          <w:sz w:val="22"/>
          <w:lang w:val="en-AU" w:eastAsia="en-AU"/>
        </w:rPr>
      </w:pPr>
      <w:r w:rsidRPr="00FB04E0">
        <w:rPr>
          <w:rFonts w:eastAsia="Times New Roman" w:cstheme="minorHAnsi"/>
          <w:sz w:val="22"/>
          <w:lang w:val="en-AU" w:eastAsia="en-AU"/>
        </w:rPr>
        <w:t xml:space="preserve">These </w:t>
      </w:r>
      <w:r w:rsidR="0063596B">
        <w:rPr>
          <w:rFonts w:eastAsia="Times New Roman" w:cstheme="minorHAnsi"/>
          <w:sz w:val="22"/>
          <w:lang w:val="en-AU" w:eastAsia="en-AU"/>
        </w:rPr>
        <w:t xml:space="preserve">message </w:t>
      </w:r>
      <w:r w:rsidRPr="00FB04E0">
        <w:rPr>
          <w:rFonts w:eastAsia="Times New Roman" w:cstheme="minorHAnsi"/>
          <w:sz w:val="22"/>
          <w:lang w:val="en-AU" w:eastAsia="en-AU"/>
        </w:rPr>
        <w:t>markers should be applied consistently to support reliable interpretation of VTS contribution.</w:t>
      </w:r>
    </w:p>
    <w:p w14:paraId="0A4776C9" w14:textId="77777777" w:rsidR="00884712" w:rsidRPr="00FB04E0" w:rsidRDefault="00884712" w:rsidP="00884712">
      <w:pPr>
        <w:spacing w:before="100" w:beforeAutospacing="1" w:after="100" w:afterAutospacing="1" w:line="240" w:lineRule="auto"/>
        <w:ind w:left="360"/>
        <w:rPr>
          <w:rFonts w:eastAsia="Times New Roman" w:cstheme="minorHAnsi"/>
          <w:b/>
          <w:bCs/>
          <w:sz w:val="22"/>
          <w:lang w:val="en-AU" w:eastAsia="en-AU"/>
        </w:rPr>
      </w:pPr>
      <w:r w:rsidRPr="00FB04E0">
        <w:rPr>
          <w:rFonts w:eastAsia="Times New Roman" w:cstheme="minorHAnsi"/>
          <w:b/>
          <w:bCs/>
          <w:sz w:val="22"/>
          <w:lang w:val="en-AU" w:eastAsia="en-AU"/>
        </w:rPr>
        <w:t>2. Types of Developing Unsafe Situations</w:t>
      </w:r>
    </w:p>
    <w:p w14:paraId="72A4B763" w14:textId="77777777" w:rsidR="00884712" w:rsidRPr="00FB04E0" w:rsidRDefault="00884712" w:rsidP="00884712">
      <w:pPr>
        <w:spacing w:before="100" w:beforeAutospacing="1" w:after="100" w:afterAutospacing="1" w:line="240" w:lineRule="auto"/>
        <w:ind w:left="360"/>
        <w:rPr>
          <w:rFonts w:eastAsia="Times New Roman" w:cstheme="minorHAnsi"/>
          <w:sz w:val="22"/>
          <w:lang w:val="en-AU" w:eastAsia="en-AU"/>
        </w:rPr>
      </w:pPr>
      <w:r w:rsidRPr="00FB04E0">
        <w:rPr>
          <w:rFonts w:eastAsia="Times New Roman" w:cstheme="minorHAnsi"/>
          <w:sz w:val="22"/>
          <w:lang w:val="en-AU" w:eastAsia="en-AU"/>
        </w:rPr>
        <w:t>The IMO VTS Guidelines identify a range of situations in which VTS may interact with vessels to support safe navigation. These situations should be recorded in the dataset and may include one or more of the following:</w:t>
      </w:r>
    </w:p>
    <w:p w14:paraId="341C3DE9" w14:textId="77777777" w:rsidR="00884712" w:rsidRPr="00FB04E0" w:rsidRDefault="00884712" w:rsidP="00DA78AB">
      <w:pPr>
        <w:pStyle w:val="ListParagraph"/>
        <w:numPr>
          <w:ilvl w:val="0"/>
          <w:numId w:val="41"/>
        </w:numPr>
        <w:spacing w:before="100" w:beforeAutospacing="1" w:after="100" w:afterAutospacing="1" w:line="240" w:lineRule="auto"/>
        <w:ind w:left="1428"/>
        <w:rPr>
          <w:rFonts w:eastAsia="Times New Roman" w:cstheme="minorHAnsi"/>
          <w:lang w:eastAsia="en-AU"/>
        </w:rPr>
      </w:pPr>
      <w:r w:rsidRPr="00FB04E0">
        <w:rPr>
          <w:rFonts w:eastAsia="Times New Roman" w:cstheme="minorHAnsi"/>
          <w:lang w:eastAsia="en-AU"/>
        </w:rPr>
        <w:t>Ship unsure of its route or position – vessel reports uncertainty or is observed to be off track without clear situational awareness.</w:t>
      </w:r>
    </w:p>
    <w:p w14:paraId="3A7FF1AE" w14:textId="77777777" w:rsidR="00884712" w:rsidRPr="00FB04E0" w:rsidRDefault="00884712" w:rsidP="00DA78AB">
      <w:pPr>
        <w:pStyle w:val="ListParagraph"/>
        <w:numPr>
          <w:ilvl w:val="0"/>
          <w:numId w:val="41"/>
        </w:numPr>
        <w:spacing w:before="100" w:beforeAutospacing="1" w:after="100" w:afterAutospacing="1" w:line="240" w:lineRule="auto"/>
        <w:ind w:left="1428"/>
        <w:rPr>
          <w:rFonts w:eastAsia="Times New Roman" w:cstheme="minorHAnsi"/>
          <w:lang w:eastAsia="en-AU"/>
        </w:rPr>
      </w:pPr>
      <w:r w:rsidRPr="00FB04E0">
        <w:rPr>
          <w:rFonts w:eastAsia="Times New Roman" w:cstheme="minorHAnsi"/>
          <w:lang w:eastAsia="en-AU"/>
        </w:rPr>
        <w:t>Ship deviating from the planned route – vessel observed departing from the expected track or routing measure.</w:t>
      </w:r>
    </w:p>
    <w:p w14:paraId="5967787A" w14:textId="77777777" w:rsidR="00884712" w:rsidRPr="00FB04E0" w:rsidRDefault="00884712" w:rsidP="00DA78AB">
      <w:pPr>
        <w:pStyle w:val="ListParagraph"/>
        <w:numPr>
          <w:ilvl w:val="0"/>
          <w:numId w:val="41"/>
        </w:numPr>
        <w:spacing w:before="100" w:beforeAutospacing="1" w:after="100" w:afterAutospacing="1" w:line="240" w:lineRule="auto"/>
        <w:ind w:left="1428"/>
        <w:rPr>
          <w:rFonts w:eastAsia="Times New Roman" w:cstheme="minorHAnsi"/>
          <w:lang w:eastAsia="en-AU"/>
        </w:rPr>
      </w:pPr>
      <w:r w:rsidRPr="00FB04E0">
        <w:rPr>
          <w:rFonts w:eastAsia="Times New Roman" w:cstheme="minorHAnsi"/>
          <w:lang w:eastAsia="en-AU"/>
        </w:rPr>
        <w:t>Ship missing a critical waypoint – vessel fails to alter course at a designated waypoint or navigational turning point.</w:t>
      </w:r>
    </w:p>
    <w:p w14:paraId="7185B91C" w14:textId="77777777" w:rsidR="00884712" w:rsidRPr="00FB04E0" w:rsidRDefault="00884712" w:rsidP="00DA78AB">
      <w:pPr>
        <w:pStyle w:val="ListParagraph"/>
        <w:numPr>
          <w:ilvl w:val="0"/>
          <w:numId w:val="41"/>
        </w:numPr>
        <w:spacing w:before="100" w:beforeAutospacing="1" w:after="100" w:afterAutospacing="1" w:line="240" w:lineRule="auto"/>
        <w:ind w:left="1428"/>
        <w:rPr>
          <w:rFonts w:eastAsia="Times New Roman" w:cstheme="minorHAnsi"/>
          <w:lang w:eastAsia="en-AU"/>
        </w:rPr>
      </w:pPr>
      <w:r w:rsidRPr="00FB04E0">
        <w:rPr>
          <w:rFonts w:eastAsia="Times New Roman" w:cstheme="minorHAnsi"/>
          <w:lang w:eastAsia="en-AU"/>
        </w:rPr>
        <w:t>Ship requiring guidance to an anchoring position – vessel requests or requires assistance in locating or approaching an anchorage.</w:t>
      </w:r>
    </w:p>
    <w:p w14:paraId="321B4A61" w14:textId="77777777" w:rsidR="00884712" w:rsidRPr="00FB04E0" w:rsidRDefault="00884712" w:rsidP="00DA78AB">
      <w:pPr>
        <w:pStyle w:val="ListParagraph"/>
        <w:numPr>
          <w:ilvl w:val="0"/>
          <w:numId w:val="41"/>
        </w:numPr>
        <w:spacing w:before="100" w:beforeAutospacing="1" w:after="100" w:afterAutospacing="1" w:line="240" w:lineRule="auto"/>
        <w:ind w:left="1428"/>
        <w:rPr>
          <w:rFonts w:eastAsia="Times New Roman" w:cstheme="minorHAnsi"/>
          <w:lang w:eastAsia="en-AU"/>
        </w:rPr>
      </w:pPr>
      <w:r w:rsidRPr="00FB04E0">
        <w:rPr>
          <w:rFonts w:eastAsia="Times New Roman" w:cstheme="minorHAnsi"/>
          <w:lang w:eastAsia="en-AU"/>
        </w:rPr>
        <w:t>Ship experiencing defects or deficiencies – examples include failure of navigation equipment, propulsion or steering systems, or other defects affecting safe navigation.</w:t>
      </w:r>
    </w:p>
    <w:p w14:paraId="5C013198" w14:textId="77777777" w:rsidR="00884712" w:rsidRPr="00FB04E0" w:rsidRDefault="00884712" w:rsidP="00DA78AB">
      <w:pPr>
        <w:pStyle w:val="ListParagraph"/>
        <w:numPr>
          <w:ilvl w:val="0"/>
          <w:numId w:val="41"/>
        </w:numPr>
        <w:spacing w:before="100" w:beforeAutospacing="1" w:after="100" w:afterAutospacing="1" w:line="240" w:lineRule="auto"/>
        <w:ind w:left="1428"/>
        <w:rPr>
          <w:rFonts w:eastAsia="Times New Roman" w:cstheme="minorHAnsi"/>
          <w:lang w:eastAsia="en-AU"/>
        </w:rPr>
      </w:pPr>
      <w:r w:rsidRPr="00FB04E0">
        <w:rPr>
          <w:rFonts w:eastAsia="Times New Roman" w:cstheme="minorHAnsi"/>
          <w:lang w:eastAsia="en-AU"/>
        </w:rPr>
        <w:t>Ship at risk of grounding or collision – vessel observed in close proximity to hazards, other vessels or shallow water, or operating in a manner that increases collision or grounding risk.</w:t>
      </w:r>
    </w:p>
    <w:p w14:paraId="34D88390" w14:textId="77777777" w:rsidR="00884712" w:rsidRPr="00FB04E0" w:rsidRDefault="00884712" w:rsidP="00DA78AB">
      <w:pPr>
        <w:pStyle w:val="ListParagraph"/>
        <w:numPr>
          <w:ilvl w:val="0"/>
          <w:numId w:val="41"/>
        </w:numPr>
        <w:spacing w:before="100" w:beforeAutospacing="1" w:after="100" w:afterAutospacing="1" w:line="240" w:lineRule="auto"/>
        <w:ind w:left="1428"/>
        <w:rPr>
          <w:rFonts w:eastAsia="Times New Roman" w:cstheme="minorHAnsi"/>
          <w:lang w:eastAsia="en-AU"/>
        </w:rPr>
      </w:pPr>
      <w:r w:rsidRPr="00FB04E0">
        <w:rPr>
          <w:rFonts w:eastAsia="Times New Roman" w:cstheme="minorHAnsi"/>
          <w:lang w:eastAsia="en-AU"/>
        </w:rPr>
        <w:t>Emergency response or support to emergency services – situations involving fire, flooding, medical emergencies, search and rescue or other urgent circumstances requiring coordination.</w:t>
      </w:r>
    </w:p>
    <w:p w14:paraId="713C0200" w14:textId="77777777" w:rsidR="00884712" w:rsidRPr="00FB04E0" w:rsidRDefault="00884712" w:rsidP="00884712">
      <w:pPr>
        <w:spacing w:before="100" w:beforeAutospacing="1" w:after="100" w:afterAutospacing="1" w:line="240" w:lineRule="auto"/>
        <w:ind w:left="360"/>
        <w:rPr>
          <w:rFonts w:eastAsia="Times New Roman" w:cstheme="minorHAnsi"/>
          <w:sz w:val="22"/>
          <w:lang w:val="en-AU" w:eastAsia="en-AU"/>
        </w:rPr>
      </w:pPr>
      <w:r w:rsidRPr="00FB04E0">
        <w:rPr>
          <w:rFonts w:eastAsia="Times New Roman" w:cstheme="minorHAnsi"/>
          <w:sz w:val="22"/>
          <w:lang w:val="en-AU" w:eastAsia="en-AU"/>
        </w:rPr>
        <w:t>A single event may involve multiple related situations. For example, a vessel deviating from its planned route may subsequently be identified as missing a waypoint and later require guidance to avoid a potential grounding. Each situation should be recorded to reflect the full sequence of events.</w:t>
      </w:r>
    </w:p>
    <w:p w14:paraId="2625C046" w14:textId="77777777" w:rsidR="00884712" w:rsidRPr="00FB04E0" w:rsidRDefault="00884712" w:rsidP="00884712">
      <w:pPr>
        <w:spacing w:before="100" w:beforeAutospacing="1" w:after="100" w:afterAutospacing="1" w:line="240" w:lineRule="auto"/>
        <w:ind w:left="360"/>
        <w:rPr>
          <w:rFonts w:eastAsia="Times New Roman" w:cstheme="minorHAnsi"/>
          <w:b/>
          <w:bCs/>
          <w:sz w:val="22"/>
          <w:lang w:val="en-AU" w:eastAsia="en-AU"/>
        </w:rPr>
      </w:pPr>
      <w:r w:rsidRPr="00FB04E0">
        <w:rPr>
          <w:rFonts w:eastAsia="Times New Roman" w:cstheme="minorHAnsi"/>
          <w:b/>
          <w:bCs/>
          <w:sz w:val="22"/>
          <w:lang w:val="en-AU" w:eastAsia="en-AU"/>
        </w:rPr>
        <w:t>3. Interaction Record</w:t>
      </w:r>
    </w:p>
    <w:p w14:paraId="114E0417" w14:textId="77777777" w:rsidR="00884712" w:rsidRPr="00FB04E0" w:rsidRDefault="00884712" w:rsidP="00884712">
      <w:pPr>
        <w:spacing w:before="100" w:beforeAutospacing="1" w:after="100" w:afterAutospacing="1" w:line="240" w:lineRule="auto"/>
        <w:ind w:left="360"/>
        <w:rPr>
          <w:rFonts w:eastAsia="Times New Roman" w:cstheme="minorHAnsi"/>
          <w:sz w:val="22"/>
          <w:lang w:val="en-AU" w:eastAsia="en-AU"/>
        </w:rPr>
      </w:pPr>
      <w:r w:rsidRPr="00FB04E0">
        <w:rPr>
          <w:rFonts w:eastAsia="Times New Roman" w:cstheme="minorHAnsi"/>
          <w:sz w:val="22"/>
          <w:lang w:val="en-AU" w:eastAsia="en-AU"/>
        </w:rPr>
        <w:t>For each developing unsafe situation, the dataset should record:</w:t>
      </w:r>
    </w:p>
    <w:p w14:paraId="78FFA4D8" w14:textId="77777777" w:rsidR="00884712" w:rsidRPr="00FB04E0" w:rsidRDefault="00884712" w:rsidP="00DA78AB">
      <w:pPr>
        <w:pStyle w:val="ListParagraph"/>
        <w:numPr>
          <w:ilvl w:val="0"/>
          <w:numId w:val="41"/>
        </w:numPr>
        <w:spacing w:before="100" w:beforeAutospacing="1" w:after="100" w:afterAutospacing="1" w:line="240" w:lineRule="auto"/>
        <w:ind w:left="1428"/>
        <w:rPr>
          <w:rFonts w:eastAsia="Times New Roman" w:cstheme="minorHAnsi"/>
          <w:lang w:eastAsia="en-AU"/>
        </w:rPr>
      </w:pPr>
      <w:r w:rsidRPr="00FB04E0">
        <w:rPr>
          <w:rFonts w:eastAsia="Times New Roman" w:cstheme="minorHAnsi"/>
          <w:lang w:eastAsia="en-AU"/>
        </w:rPr>
        <w:t>the message marker used (advice, warning, instruction)</w:t>
      </w:r>
    </w:p>
    <w:p w14:paraId="0263DF0B" w14:textId="77777777" w:rsidR="00884712" w:rsidRPr="00FB04E0" w:rsidRDefault="00884712" w:rsidP="00DA78AB">
      <w:pPr>
        <w:pStyle w:val="ListParagraph"/>
        <w:numPr>
          <w:ilvl w:val="0"/>
          <w:numId w:val="41"/>
        </w:numPr>
        <w:spacing w:before="100" w:beforeAutospacing="1" w:after="100" w:afterAutospacing="1" w:line="240" w:lineRule="auto"/>
        <w:ind w:left="1428"/>
        <w:rPr>
          <w:rFonts w:eastAsia="Times New Roman" w:cstheme="minorHAnsi"/>
          <w:lang w:eastAsia="en-AU"/>
        </w:rPr>
      </w:pPr>
      <w:r w:rsidRPr="00FB04E0">
        <w:rPr>
          <w:rFonts w:eastAsia="Times New Roman" w:cstheme="minorHAnsi"/>
          <w:lang w:eastAsia="en-AU"/>
        </w:rPr>
        <w:t>the reason for the interaction (type of situation)</w:t>
      </w:r>
    </w:p>
    <w:p w14:paraId="4C70641D" w14:textId="77777777" w:rsidR="00884712" w:rsidRPr="00FB04E0" w:rsidRDefault="00884712" w:rsidP="00DA78AB">
      <w:pPr>
        <w:pStyle w:val="ListParagraph"/>
        <w:numPr>
          <w:ilvl w:val="0"/>
          <w:numId w:val="41"/>
        </w:numPr>
        <w:spacing w:before="100" w:beforeAutospacing="1" w:after="100" w:afterAutospacing="1" w:line="240" w:lineRule="auto"/>
        <w:ind w:left="1428"/>
        <w:rPr>
          <w:rFonts w:eastAsia="Times New Roman" w:cstheme="minorHAnsi"/>
          <w:lang w:eastAsia="en-AU"/>
        </w:rPr>
      </w:pPr>
      <w:r w:rsidRPr="00FB04E0">
        <w:rPr>
          <w:rFonts w:eastAsia="Times New Roman" w:cstheme="minorHAnsi"/>
          <w:lang w:eastAsia="en-AU"/>
        </w:rPr>
        <w:t>any escalation or sequence of interactions</w:t>
      </w:r>
    </w:p>
    <w:p w14:paraId="0EBD9271" w14:textId="77777777" w:rsidR="00884712" w:rsidRPr="00FB04E0" w:rsidRDefault="00884712" w:rsidP="00DA78AB">
      <w:pPr>
        <w:pStyle w:val="ListParagraph"/>
        <w:numPr>
          <w:ilvl w:val="0"/>
          <w:numId w:val="41"/>
        </w:numPr>
        <w:spacing w:before="100" w:beforeAutospacing="1" w:after="100" w:afterAutospacing="1" w:line="240" w:lineRule="auto"/>
        <w:ind w:left="1428"/>
        <w:rPr>
          <w:rFonts w:eastAsia="Times New Roman" w:cstheme="minorHAnsi"/>
          <w:lang w:eastAsia="en-AU"/>
        </w:rPr>
      </w:pPr>
      <w:r w:rsidRPr="00FB04E0">
        <w:rPr>
          <w:rFonts w:eastAsia="Times New Roman" w:cstheme="minorHAnsi"/>
          <w:lang w:eastAsia="en-AU"/>
        </w:rPr>
        <w:t>whether the interaction contributed to mitigating the situation (VTS attributable Y/N)</w:t>
      </w:r>
    </w:p>
    <w:p w14:paraId="19A7C4BB" w14:textId="77777777" w:rsidR="00884712" w:rsidRDefault="00884712" w:rsidP="00884712">
      <w:pPr>
        <w:spacing w:before="100" w:beforeAutospacing="1" w:after="100" w:afterAutospacing="1" w:line="240" w:lineRule="auto"/>
        <w:ind w:left="360"/>
        <w:rPr>
          <w:rFonts w:eastAsia="Times New Roman" w:cstheme="minorHAnsi"/>
          <w:sz w:val="22"/>
          <w:lang w:val="en-AU" w:eastAsia="en-AU"/>
        </w:rPr>
      </w:pPr>
      <w:r w:rsidRPr="00FB04E0">
        <w:rPr>
          <w:rFonts w:eastAsia="Times New Roman" w:cstheme="minorHAnsi"/>
          <w:sz w:val="22"/>
          <w:lang w:val="en-AU" w:eastAsia="en-AU"/>
        </w:rPr>
        <w:t>This categorisation supports consistent interpretation of VTS contribution and provides a clear link between observed vessel behaviour, VTS actions and the wider safety system.</w:t>
      </w:r>
    </w:p>
    <w:p w14:paraId="7096D18A" w14:textId="60C218C7" w:rsidR="00873D56" w:rsidRPr="00FF4316" w:rsidRDefault="00873D56" w:rsidP="00873D56">
      <w:pPr>
        <w:pStyle w:val="Heading2"/>
        <w:rPr>
          <w:rFonts w:eastAsia="Times New Roman"/>
          <w:lang w:val="en-AU" w:eastAsia="en-AU"/>
        </w:rPr>
      </w:pPr>
      <w:bookmarkStart w:id="28" w:name="_Toc238036120"/>
      <w:r w:rsidRPr="00FF4316">
        <w:rPr>
          <w:rFonts w:eastAsia="Times New Roman"/>
          <w:lang w:val="en-AU" w:eastAsia="en-AU"/>
        </w:rPr>
        <w:lastRenderedPageBreak/>
        <w:t>Statistical Techniques</w:t>
      </w:r>
      <w:bookmarkEnd w:id="28"/>
    </w:p>
    <w:p w14:paraId="64F18B13" w14:textId="77777777" w:rsidR="00873D56" w:rsidRDefault="00873D56" w:rsidP="00873D56">
      <w:p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Many high</w:t>
      </w:r>
      <w:r w:rsidRPr="00BC3EA2">
        <w:rPr>
          <w:rFonts w:eastAsia="Times New Roman" w:cstheme="minorHAnsi"/>
          <w:sz w:val="22"/>
          <w:lang w:val="en-AU" w:eastAsia="en-AU"/>
        </w:rPr>
        <w:noBreakHyphen/>
        <w:t xml:space="preserve">powered statistical methods can be used to analyse maritime safety data and quantify the contribution of VTS. Approaches such as regression modelling, multivariate analysis, and probabilistic risk assessment can provide deep insight but often require specialist expertise, complex tools, and extensive data preparation. </w:t>
      </w:r>
    </w:p>
    <w:p w14:paraId="21714021" w14:textId="77777777" w:rsidR="00873D56" w:rsidRPr="00BC3EA2" w:rsidRDefault="00873D56" w:rsidP="00873D56">
      <w:p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This guideline instead focuses on two simple, practical techniques—</w:t>
      </w:r>
      <w:r w:rsidRPr="00BC3EA2">
        <w:rPr>
          <w:rFonts w:eastAsia="Times New Roman" w:cstheme="minorHAnsi"/>
          <w:b/>
          <w:bCs/>
          <w:sz w:val="22"/>
          <w:lang w:val="en-AU" w:eastAsia="en-AU"/>
        </w:rPr>
        <w:t>normalisation</w:t>
      </w:r>
      <w:r w:rsidRPr="00BC3EA2">
        <w:rPr>
          <w:rFonts w:eastAsia="Times New Roman" w:cstheme="minorHAnsi"/>
          <w:sz w:val="22"/>
          <w:lang w:val="en-AU" w:eastAsia="en-AU"/>
        </w:rPr>
        <w:t xml:space="preserve"> and </w:t>
      </w:r>
      <w:r w:rsidRPr="00BC3EA2">
        <w:rPr>
          <w:rFonts w:eastAsia="Times New Roman" w:cstheme="minorHAnsi"/>
          <w:b/>
          <w:bCs/>
          <w:sz w:val="22"/>
          <w:lang w:val="en-AU" w:eastAsia="en-AU"/>
        </w:rPr>
        <w:t>percentage change</w:t>
      </w:r>
      <w:r>
        <w:rPr>
          <w:rFonts w:eastAsia="Times New Roman" w:cstheme="minorHAnsi"/>
          <w:b/>
          <w:bCs/>
          <w:sz w:val="22"/>
          <w:lang w:val="en-AU" w:eastAsia="en-AU"/>
        </w:rPr>
        <w:t xml:space="preserve"> </w:t>
      </w:r>
      <w:r>
        <w:rPr>
          <w:rFonts w:eastAsia="Times New Roman" w:cstheme="minorHAnsi"/>
          <w:sz w:val="22"/>
          <w:lang w:val="en-AU" w:eastAsia="en-AU"/>
        </w:rPr>
        <w:t xml:space="preserve">- </w:t>
      </w:r>
      <w:r w:rsidRPr="00BC3EA2">
        <w:rPr>
          <w:rFonts w:eastAsia="Times New Roman" w:cstheme="minorHAnsi"/>
          <w:sz w:val="22"/>
          <w:lang w:val="en-AU" w:eastAsia="en-AU"/>
        </w:rPr>
        <w:t>that are easy to implement, transparent to interpret, and suitable for consistent use across all VTS centres. These methods provide clear, repeatable results without the need for advanced analytical capability.</w:t>
      </w:r>
    </w:p>
    <w:p w14:paraId="10B5FEDE" w14:textId="77777777" w:rsidR="00873D56" w:rsidRPr="00BC3EA2" w:rsidRDefault="00873D56" w:rsidP="00873D56">
      <w:p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The two techniques used are:</w:t>
      </w:r>
    </w:p>
    <w:p w14:paraId="30FF4C10" w14:textId="77777777" w:rsidR="00873D56" w:rsidRPr="00BC3EA2" w:rsidRDefault="00873D56" w:rsidP="00812478">
      <w:pPr>
        <w:numPr>
          <w:ilvl w:val="0"/>
          <w:numId w:val="69"/>
        </w:numPr>
        <w:spacing w:before="120" w:after="120" w:line="240" w:lineRule="auto"/>
        <w:rPr>
          <w:rFonts w:eastAsia="Times New Roman" w:cstheme="minorHAnsi"/>
          <w:sz w:val="22"/>
          <w:lang w:val="en-AU" w:eastAsia="en-AU"/>
        </w:rPr>
      </w:pPr>
      <w:r w:rsidRPr="00BC3EA2">
        <w:rPr>
          <w:rFonts w:eastAsia="Times New Roman" w:cstheme="minorHAnsi"/>
          <w:b/>
          <w:bCs/>
          <w:sz w:val="22"/>
          <w:lang w:val="en-AU" w:eastAsia="en-AU"/>
        </w:rPr>
        <w:t>Normalisation</w:t>
      </w:r>
    </w:p>
    <w:p w14:paraId="4D15CB3E" w14:textId="77777777" w:rsidR="00873D56" w:rsidRPr="00BC3EA2" w:rsidRDefault="00873D56" w:rsidP="00812478">
      <w:pPr>
        <w:numPr>
          <w:ilvl w:val="0"/>
          <w:numId w:val="69"/>
        </w:numPr>
        <w:spacing w:before="120" w:after="120" w:line="240" w:lineRule="auto"/>
        <w:rPr>
          <w:rFonts w:eastAsia="Times New Roman" w:cstheme="minorHAnsi"/>
          <w:sz w:val="22"/>
          <w:lang w:val="en-AU" w:eastAsia="en-AU"/>
        </w:rPr>
      </w:pPr>
      <w:r w:rsidRPr="00BC3EA2">
        <w:rPr>
          <w:rFonts w:eastAsia="Times New Roman" w:cstheme="minorHAnsi"/>
          <w:b/>
          <w:bCs/>
          <w:sz w:val="22"/>
          <w:lang w:val="en-AU" w:eastAsia="en-AU"/>
        </w:rPr>
        <w:t>Percentage Change</w:t>
      </w:r>
    </w:p>
    <w:p w14:paraId="5822E3A9" w14:textId="77777777" w:rsidR="00873D56" w:rsidRPr="004008B9" w:rsidRDefault="00873D56" w:rsidP="00873D56">
      <w:p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Together, they provide a balanced basis for comparing performance across different periods, traffic volumes, and operational contexts.</w:t>
      </w:r>
    </w:p>
    <w:p w14:paraId="4D84B7F0" w14:textId="77777777" w:rsidR="00873D56" w:rsidRPr="00FF4316" w:rsidRDefault="00873D56" w:rsidP="00873D56">
      <w:pPr>
        <w:pStyle w:val="Heading3"/>
        <w:rPr>
          <w:rFonts w:eastAsia="Times New Roman"/>
          <w:lang w:val="en-AU" w:eastAsia="en-AU"/>
        </w:rPr>
      </w:pPr>
      <w:bookmarkStart w:id="29" w:name="_Toc238036121"/>
      <w:r w:rsidRPr="00FF4316">
        <w:rPr>
          <w:rFonts w:eastAsia="Times New Roman"/>
          <w:lang w:val="en-AU" w:eastAsia="en-AU"/>
        </w:rPr>
        <w:t>Normalisation</w:t>
      </w:r>
      <w:bookmarkEnd w:id="29"/>
    </w:p>
    <w:p w14:paraId="77916174" w14:textId="77777777" w:rsidR="00873D56" w:rsidRPr="00843B92" w:rsidRDefault="00873D56" w:rsidP="00873D56">
      <w:p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Normalisation adjusts data to a common reference point so that trends can be interpreted independently of changes in vessel traffic volume. It is essential when analysing time</w:t>
      </w:r>
      <w:r w:rsidRPr="00843B92">
        <w:rPr>
          <w:rFonts w:eastAsia="Times New Roman" w:cstheme="minorHAnsi"/>
          <w:sz w:val="22"/>
          <w:lang w:val="en-AU" w:eastAsia="en-AU"/>
        </w:rPr>
        <w:noBreakHyphen/>
        <w:t>series data where movements vary significantly over time. Without normalisation, increases or decreases in developing unsafe situations may simply reflect changes in traffic rather than changes in vessel behaviour or VTS contribution.</w:t>
      </w:r>
    </w:p>
    <w:p w14:paraId="1F54953B" w14:textId="77777777" w:rsidR="00873D56" w:rsidRPr="00843B92" w:rsidRDefault="00873D56" w:rsidP="00873D56">
      <w:p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Normalisation is particularly useful when:</w:t>
      </w:r>
    </w:p>
    <w:p w14:paraId="0AEDB61A" w14:textId="77777777" w:rsidR="00873D56" w:rsidRPr="00843B92" w:rsidRDefault="00873D56" w:rsidP="00812478">
      <w:pPr>
        <w:numPr>
          <w:ilvl w:val="0"/>
          <w:numId w:val="70"/>
        </w:num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 xml:space="preserve">transit volumes vary </w:t>
      </w:r>
      <w:r>
        <w:rPr>
          <w:rFonts w:eastAsia="Times New Roman" w:cstheme="minorHAnsi"/>
          <w:sz w:val="22"/>
          <w:lang w:val="en-AU" w:eastAsia="en-AU"/>
        </w:rPr>
        <w:t>over</w:t>
      </w:r>
    </w:p>
    <w:p w14:paraId="5C6FC9BA" w14:textId="77777777" w:rsidR="00873D56" w:rsidRPr="00843B92" w:rsidRDefault="00873D56" w:rsidP="00812478">
      <w:pPr>
        <w:numPr>
          <w:ilvl w:val="0"/>
          <w:numId w:val="70"/>
        </w:num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new services or vessel types are introduced</w:t>
      </w:r>
    </w:p>
    <w:p w14:paraId="479ACCF2" w14:textId="77777777" w:rsidR="00873D56" w:rsidRPr="00843B92" w:rsidRDefault="00873D56" w:rsidP="00812478">
      <w:pPr>
        <w:numPr>
          <w:ilvl w:val="0"/>
          <w:numId w:val="70"/>
        </w:num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port expansions alter traffic density</w:t>
      </w:r>
    </w:p>
    <w:p w14:paraId="18B53ABB" w14:textId="77777777" w:rsidR="00873D56" w:rsidRPr="00843B92" w:rsidRDefault="00873D56" w:rsidP="00812478">
      <w:pPr>
        <w:numPr>
          <w:ilvl w:val="0"/>
          <w:numId w:val="70"/>
        </w:num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comparisons are required across periods or VTS centres</w:t>
      </w:r>
    </w:p>
    <w:p w14:paraId="7B9AD11A" w14:textId="77777777" w:rsidR="00873D56" w:rsidRPr="00843B92" w:rsidRDefault="00873D56" w:rsidP="00873D56">
      <w:p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When applying normalisation:</w:t>
      </w:r>
    </w:p>
    <w:p w14:paraId="7D54C2FC" w14:textId="77777777" w:rsidR="00873D56" w:rsidRPr="00843B92" w:rsidRDefault="00873D56" w:rsidP="00812478">
      <w:pPr>
        <w:numPr>
          <w:ilvl w:val="0"/>
          <w:numId w:val="71"/>
        </w:num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Select a consistent reference value (e.g., 10,000 transits per year).</w:t>
      </w:r>
    </w:p>
    <w:p w14:paraId="37C93728" w14:textId="77777777" w:rsidR="00873D56" w:rsidRPr="00843B92" w:rsidRDefault="00873D56" w:rsidP="00812478">
      <w:pPr>
        <w:numPr>
          <w:ilvl w:val="0"/>
          <w:numId w:val="71"/>
        </w:num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Apply the same method across all years.</w:t>
      </w:r>
    </w:p>
    <w:p w14:paraId="3D55CBE1" w14:textId="77777777" w:rsidR="00873D56" w:rsidRPr="00843B92" w:rsidRDefault="00873D56" w:rsidP="00812478">
      <w:pPr>
        <w:numPr>
          <w:ilvl w:val="0"/>
          <w:numId w:val="71"/>
        </w:num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Retain both raw and normalised values for transparency.</w:t>
      </w:r>
    </w:p>
    <w:p w14:paraId="1F7B421E" w14:textId="77777777" w:rsidR="00873D56" w:rsidRPr="00843B92" w:rsidRDefault="00873D56" w:rsidP="00812478">
      <w:pPr>
        <w:numPr>
          <w:ilvl w:val="0"/>
          <w:numId w:val="71"/>
        </w:num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Use normalisation only where traffic volume is relevant to interpretation.</w:t>
      </w:r>
    </w:p>
    <w:p w14:paraId="56A44865" w14:textId="77777777" w:rsidR="00873D56" w:rsidRDefault="00873D56" w:rsidP="00873D56">
      <w:p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Normalisation does not replace qualitative assessment. It ensures that observed trends—such as reductions in near misses following increased VTS interaction—are interpreted in the correct operational context</w:t>
      </w:r>
    </w:p>
    <w:p w14:paraId="777A402D" w14:textId="77777777" w:rsidR="00873D56" w:rsidRPr="00FF4316" w:rsidRDefault="00873D56" w:rsidP="00873D56">
      <w:pPr>
        <w:tabs>
          <w:tab w:val="num" w:pos="360"/>
        </w:tabs>
        <w:spacing w:before="120" w:after="120" w:line="240" w:lineRule="auto"/>
        <w:ind w:left="709" w:hanging="709"/>
        <w:rPr>
          <w:rFonts w:eastAsia="Times New Roman" w:cstheme="minorHAnsi"/>
          <w:b/>
          <w:bCs/>
          <w:sz w:val="22"/>
          <w:lang w:val="en-AU" w:eastAsia="en-AU"/>
        </w:rPr>
      </w:pPr>
      <w:r w:rsidRPr="00FF4316">
        <w:rPr>
          <w:rFonts w:eastAsia="Times New Roman" w:cstheme="minorHAnsi"/>
          <w:b/>
          <w:bCs/>
          <w:sz w:val="22"/>
          <w:lang w:val="en-AU" w:eastAsia="en-AU"/>
        </w:rPr>
        <w:t>Normalising Incident Rates</w:t>
      </w:r>
    </w:p>
    <w:p w14:paraId="27FCF75C" w14:textId="77777777" w:rsidR="00873D56" w:rsidRDefault="00873D56" w:rsidP="00873D56">
      <w:p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Normalisation removes the effect of changing traffic volume:</w:t>
      </w:r>
    </w:p>
    <w:p w14:paraId="2EAA4563" w14:textId="7BBC16A8" w:rsidR="00873D56" w:rsidRPr="005B7A67" w:rsidRDefault="00873D56" w:rsidP="005B7A67">
      <w:pPr>
        <w:spacing w:before="120" w:after="120" w:line="240" w:lineRule="auto"/>
        <w:ind w:left="708"/>
        <w:rPr>
          <w:rFonts w:eastAsia="Times New Roman" w:cstheme="minorHAnsi"/>
          <w:sz w:val="22"/>
          <w:lang w:val="en-AU" w:eastAsia="en-AU"/>
        </w:rPr>
      </w:pPr>
      <m:oMathPara>
        <m:oMathParaPr>
          <m:jc m:val="left"/>
        </m:oMathParaPr>
        <m:oMath>
          <m:r>
            <w:rPr>
              <w:rFonts w:ascii="Cambria Math" w:eastAsia="Times New Roman" w:hAnsi="Cambria Math" w:cstheme="minorHAnsi"/>
              <w:sz w:val="22"/>
              <w:lang w:val="en-AU" w:eastAsia="en-AU"/>
            </w:rPr>
            <m:t>R</m:t>
          </m:r>
          <m:d>
            <m:dPr>
              <m:ctrlPr>
                <w:rPr>
                  <w:rFonts w:ascii="Cambria Math" w:eastAsia="Times New Roman" w:hAnsi="Cambria Math" w:cstheme="minorHAnsi"/>
                  <w:sz w:val="22"/>
                  <w:lang w:val="en-AU" w:eastAsia="en-AU"/>
                </w:rPr>
              </m:ctrlPr>
            </m:dPr>
            <m:e>
              <m:r>
                <w:rPr>
                  <w:rFonts w:ascii="Cambria Math" w:eastAsia="Times New Roman" w:hAnsi="Cambria Math" w:cstheme="minorHAnsi"/>
                  <w:sz w:val="22"/>
                  <w:lang w:val="en-AU" w:eastAsia="en-AU"/>
                </w:rPr>
                <m:t>t</m:t>
              </m:r>
            </m:e>
          </m:d>
          <m:f>
            <m:fPr>
              <m:ctrlPr>
                <w:rPr>
                  <w:rFonts w:ascii="Cambria Math" w:eastAsia="Times New Roman" w:hAnsi="Cambria Math" w:cstheme="minorHAnsi"/>
                  <w:sz w:val="22"/>
                  <w:lang w:val="en-AU" w:eastAsia="en-AU"/>
                </w:rPr>
              </m:ctrlPr>
            </m:fPr>
            <m:num>
              <m:r>
                <w:rPr>
                  <w:rFonts w:ascii="Cambria Math" w:eastAsia="Times New Roman" w:hAnsi="Cambria Math" w:cstheme="minorHAnsi"/>
                  <w:sz w:val="22"/>
                  <w:lang w:val="en-AU" w:eastAsia="en-AU"/>
                </w:rPr>
                <m:t>G</m:t>
              </m:r>
              <m:d>
                <m:dPr>
                  <m:ctrlPr>
                    <w:rPr>
                      <w:rFonts w:ascii="Cambria Math" w:eastAsia="Times New Roman" w:hAnsi="Cambria Math" w:cstheme="minorHAnsi"/>
                      <w:sz w:val="22"/>
                      <w:lang w:val="en-AU" w:eastAsia="en-AU"/>
                    </w:rPr>
                  </m:ctrlPr>
                </m:dPr>
                <m:e>
                  <m:r>
                    <w:rPr>
                      <w:rFonts w:ascii="Cambria Math" w:eastAsia="Times New Roman" w:hAnsi="Cambria Math" w:cstheme="minorHAnsi"/>
                      <w:sz w:val="22"/>
                      <w:lang w:val="en-AU" w:eastAsia="en-AU"/>
                    </w:rPr>
                    <m:t>t</m:t>
                  </m:r>
                </m:e>
              </m:d>
            </m:num>
            <m:den>
              <m:r>
                <w:rPr>
                  <w:rFonts w:ascii="Cambria Math" w:eastAsia="Times New Roman" w:hAnsi="Cambria Math" w:cstheme="minorHAnsi"/>
                  <w:sz w:val="22"/>
                  <w:lang w:val="en-AU" w:eastAsia="en-AU"/>
                </w:rPr>
                <m:t>T</m:t>
              </m:r>
              <m:d>
                <m:dPr>
                  <m:ctrlPr>
                    <w:rPr>
                      <w:rFonts w:ascii="Cambria Math" w:eastAsia="Times New Roman" w:hAnsi="Cambria Math" w:cstheme="minorHAnsi"/>
                      <w:sz w:val="22"/>
                      <w:lang w:val="en-AU" w:eastAsia="en-AU"/>
                    </w:rPr>
                  </m:ctrlPr>
                </m:dPr>
                <m:e>
                  <m:r>
                    <w:rPr>
                      <w:rFonts w:ascii="Cambria Math" w:eastAsia="Times New Roman" w:hAnsi="Cambria Math" w:cstheme="minorHAnsi"/>
                      <w:sz w:val="22"/>
                      <w:lang w:val="en-AU" w:eastAsia="en-AU"/>
                    </w:rPr>
                    <m:t>t</m:t>
                  </m:r>
                </m:e>
              </m:d>
            </m:den>
          </m:f>
          <m:r>
            <w:rPr>
              <w:rFonts w:ascii="Cambria Math" w:eastAsia="Times New Roman" w:hAnsi="Cambria Math" w:cstheme="minorHAnsi"/>
              <w:sz w:val="22"/>
              <w:lang w:val="en-AU" w:eastAsia="en-AU"/>
            </w:rPr>
            <m:t>×1000</m:t>
          </m:r>
          <m:r>
            <w:rPr>
              <w:rFonts w:ascii="Cambria Math" w:eastAsia="Times New Roman" w:hAnsi="Cambria Math" w:cstheme="minorHAnsi"/>
              <w:sz w:val="22"/>
              <w:lang w:val="en-AU" w:eastAsia="en-AU"/>
            </w:rPr>
            <m:t>0</m:t>
          </m:r>
        </m:oMath>
      </m:oMathPara>
    </w:p>
    <w:p w14:paraId="5534ACF2" w14:textId="77777777" w:rsidR="00873D56" w:rsidRPr="00BC3EA2" w:rsidRDefault="00873D56" w:rsidP="005B7A67">
      <w:p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Where:</w:t>
      </w:r>
    </w:p>
    <w:p w14:paraId="60DBB2C7" w14:textId="77777777" w:rsidR="00873D56" w:rsidRPr="00BC3EA2" w:rsidRDefault="00873D56" w:rsidP="00812478">
      <w:pPr>
        <w:numPr>
          <w:ilvl w:val="0"/>
          <w:numId w:val="66"/>
        </w:numPr>
        <w:spacing w:before="60" w:after="60" w:line="240" w:lineRule="auto"/>
        <w:ind w:left="714" w:hanging="357"/>
        <w:rPr>
          <w:rFonts w:eastAsia="Times New Roman" w:cstheme="minorHAnsi"/>
          <w:sz w:val="22"/>
          <w:lang w:val="en-AU" w:eastAsia="en-AU"/>
        </w:rPr>
      </w:pPr>
      <w:r w:rsidRPr="00BC3EA2">
        <w:rPr>
          <w:rFonts w:eastAsia="Times New Roman" w:cstheme="minorHAnsi"/>
          <w:sz w:val="22"/>
          <w:lang w:val="en-AU" w:eastAsia="en-AU"/>
        </w:rPr>
        <w:t xml:space="preserve">G(t) = [incident type] in year </w:t>
      </w:r>
      <w:r w:rsidRPr="00BC3EA2">
        <w:rPr>
          <w:rFonts w:eastAsia="Times New Roman" w:cstheme="minorHAnsi"/>
          <w:i/>
          <w:iCs/>
          <w:sz w:val="22"/>
          <w:lang w:val="en-AU" w:eastAsia="en-AU"/>
        </w:rPr>
        <w:t>t</w:t>
      </w:r>
    </w:p>
    <w:p w14:paraId="67666797" w14:textId="77777777" w:rsidR="00873D56" w:rsidRPr="00BC3EA2" w:rsidRDefault="00873D56" w:rsidP="00812478">
      <w:pPr>
        <w:numPr>
          <w:ilvl w:val="0"/>
          <w:numId w:val="66"/>
        </w:numPr>
        <w:spacing w:before="60" w:after="60" w:line="240" w:lineRule="auto"/>
        <w:ind w:left="714" w:hanging="357"/>
        <w:rPr>
          <w:rFonts w:eastAsia="Times New Roman" w:cstheme="minorHAnsi"/>
          <w:sz w:val="22"/>
          <w:lang w:val="en-AU" w:eastAsia="en-AU"/>
        </w:rPr>
      </w:pPr>
      <w:r w:rsidRPr="00BC3EA2">
        <w:rPr>
          <w:rFonts w:eastAsia="Times New Roman" w:cstheme="minorHAnsi"/>
          <w:sz w:val="22"/>
          <w:lang w:val="en-AU" w:eastAsia="en-AU"/>
        </w:rPr>
        <w:t xml:space="preserve">T(t) = transits in year </w:t>
      </w:r>
      <w:r w:rsidRPr="00BC3EA2">
        <w:rPr>
          <w:rFonts w:eastAsia="Times New Roman" w:cstheme="minorHAnsi"/>
          <w:i/>
          <w:iCs/>
          <w:sz w:val="22"/>
          <w:lang w:val="en-AU" w:eastAsia="en-AU"/>
        </w:rPr>
        <w:t>t</w:t>
      </w:r>
    </w:p>
    <w:p w14:paraId="5EA0E9E4" w14:textId="77777777" w:rsidR="00873D56" w:rsidRPr="00BC3EA2" w:rsidRDefault="00873D56" w:rsidP="00812478">
      <w:pPr>
        <w:numPr>
          <w:ilvl w:val="0"/>
          <w:numId w:val="66"/>
        </w:numPr>
        <w:spacing w:before="60" w:after="60" w:line="240" w:lineRule="auto"/>
        <w:ind w:left="714" w:hanging="357"/>
        <w:rPr>
          <w:rFonts w:eastAsia="Times New Roman" w:cstheme="minorHAnsi"/>
          <w:sz w:val="22"/>
          <w:lang w:val="en-AU" w:eastAsia="en-AU"/>
        </w:rPr>
      </w:pPr>
      <w:r w:rsidRPr="00BC3EA2">
        <w:rPr>
          <w:rFonts w:eastAsia="Times New Roman" w:cstheme="minorHAnsi"/>
          <w:sz w:val="22"/>
          <w:lang w:val="en-AU" w:eastAsia="en-AU"/>
        </w:rPr>
        <w:t>R(t) = [Incidents] per 10,000 transits</w:t>
      </w:r>
    </w:p>
    <w:p w14:paraId="5E39A818" w14:textId="77777777" w:rsidR="00873D56" w:rsidRDefault="00873D56" w:rsidP="00873D56">
      <w:p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This produces a fair, comparable rate over time.</w:t>
      </w:r>
    </w:p>
    <w:p w14:paraId="64F27982" w14:textId="77777777" w:rsidR="00873D56" w:rsidRPr="007213F4" w:rsidRDefault="00873D56" w:rsidP="00873D56">
      <w:pPr>
        <w:tabs>
          <w:tab w:val="num" w:pos="360"/>
        </w:tabs>
        <w:spacing w:before="120" w:after="120" w:line="240" w:lineRule="auto"/>
        <w:ind w:left="709" w:hanging="709"/>
        <w:rPr>
          <w:rFonts w:eastAsia="Times New Roman" w:cstheme="minorHAnsi"/>
          <w:sz w:val="22"/>
          <w:u w:val="single"/>
          <w:lang w:val="en-AU" w:eastAsia="en-AU"/>
        </w:rPr>
      </w:pPr>
      <w:r w:rsidRPr="007213F4">
        <w:rPr>
          <w:rFonts w:eastAsia="Times New Roman" w:cstheme="minorHAnsi"/>
          <w:b/>
          <w:bCs/>
          <w:sz w:val="22"/>
          <w:u w:val="single"/>
          <w:lang w:val="en-AU" w:eastAsia="en-AU"/>
        </w:rPr>
        <w:t>Pros</w:t>
      </w:r>
    </w:p>
    <w:p w14:paraId="452C536E" w14:textId="77777777" w:rsidR="00873D56" w:rsidRPr="00843B92" w:rsidRDefault="00873D56" w:rsidP="00812478">
      <w:pPr>
        <w:numPr>
          <w:ilvl w:val="0"/>
          <w:numId w:val="72"/>
        </w:numPr>
        <w:tabs>
          <w:tab w:val="num" w:pos="360"/>
        </w:tabs>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Enables long</w:t>
      </w:r>
      <w:r w:rsidRPr="00843B92">
        <w:rPr>
          <w:rFonts w:eastAsia="Times New Roman" w:cstheme="minorHAnsi"/>
          <w:sz w:val="22"/>
          <w:lang w:val="en-AU" w:eastAsia="en-AU"/>
        </w:rPr>
        <w:noBreakHyphen/>
        <w:t>term trend comparison across decades</w:t>
      </w:r>
    </w:p>
    <w:p w14:paraId="50898FAE" w14:textId="77777777" w:rsidR="00873D56" w:rsidRPr="00843B92" w:rsidRDefault="00873D56" w:rsidP="00812478">
      <w:pPr>
        <w:numPr>
          <w:ilvl w:val="0"/>
          <w:numId w:val="72"/>
        </w:numPr>
        <w:tabs>
          <w:tab w:val="num" w:pos="360"/>
        </w:tabs>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lastRenderedPageBreak/>
        <w:t>Removes distortion caused by fluctuating movement volumes</w:t>
      </w:r>
    </w:p>
    <w:p w14:paraId="4859F58E" w14:textId="77777777" w:rsidR="00873D56" w:rsidRPr="00843B92" w:rsidRDefault="00873D56" w:rsidP="00812478">
      <w:pPr>
        <w:numPr>
          <w:ilvl w:val="0"/>
          <w:numId w:val="72"/>
        </w:numPr>
        <w:tabs>
          <w:tab w:val="num" w:pos="360"/>
        </w:tabs>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Supports fair comparison across ports and periods</w:t>
      </w:r>
    </w:p>
    <w:p w14:paraId="3E2E1F47" w14:textId="77777777" w:rsidR="00873D56" w:rsidRPr="00843B92" w:rsidRDefault="00873D56" w:rsidP="00812478">
      <w:pPr>
        <w:numPr>
          <w:ilvl w:val="0"/>
          <w:numId w:val="72"/>
        </w:numPr>
        <w:tabs>
          <w:tab w:val="num" w:pos="360"/>
        </w:tabs>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Reduces debate over raw numbers</w:t>
      </w:r>
    </w:p>
    <w:p w14:paraId="0A72C6B4" w14:textId="77777777" w:rsidR="00873D56" w:rsidRPr="00843B92" w:rsidRDefault="00873D56" w:rsidP="00812478">
      <w:pPr>
        <w:numPr>
          <w:ilvl w:val="0"/>
          <w:numId w:val="72"/>
        </w:numPr>
        <w:tabs>
          <w:tab w:val="num" w:pos="360"/>
        </w:tabs>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Clarifies the operational impact of interventions</w:t>
      </w:r>
    </w:p>
    <w:p w14:paraId="703DAE0C" w14:textId="77777777" w:rsidR="00873D56" w:rsidRPr="007213F4" w:rsidRDefault="00873D56" w:rsidP="00873D56">
      <w:pPr>
        <w:tabs>
          <w:tab w:val="num" w:pos="360"/>
        </w:tabs>
        <w:spacing w:before="120" w:after="120" w:line="240" w:lineRule="auto"/>
        <w:ind w:left="709" w:hanging="709"/>
        <w:rPr>
          <w:rFonts w:eastAsia="Times New Roman" w:cstheme="minorHAnsi"/>
          <w:sz w:val="22"/>
          <w:u w:val="single"/>
          <w:lang w:val="en-AU" w:eastAsia="en-AU"/>
        </w:rPr>
      </w:pPr>
      <w:r w:rsidRPr="007213F4">
        <w:rPr>
          <w:rFonts w:eastAsia="Times New Roman" w:cstheme="minorHAnsi"/>
          <w:b/>
          <w:bCs/>
          <w:sz w:val="22"/>
          <w:u w:val="single"/>
          <w:lang w:val="en-AU" w:eastAsia="en-AU"/>
        </w:rPr>
        <w:t>Cons</w:t>
      </w:r>
    </w:p>
    <w:p w14:paraId="094AE737" w14:textId="77777777" w:rsidR="00873D56" w:rsidRPr="00843B92" w:rsidRDefault="00873D56" w:rsidP="00812478">
      <w:pPr>
        <w:numPr>
          <w:ilvl w:val="0"/>
          <w:numId w:val="73"/>
        </w:numPr>
        <w:tabs>
          <w:tab w:val="num" w:pos="360"/>
        </w:tabs>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Does not show absolute incident counts</w:t>
      </w:r>
    </w:p>
    <w:p w14:paraId="1994EF57" w14:textId="77777777" w:rsidR="00873D56" w:rsidRPr="00843B92" w:rsidRDefault="00873D56" w:rsidP="00812478">
      <w:pPr>
        <w:numPr>
          <w:ilvl w:val="0"/>
          <w:numId w:val="73"/>
        </w:numPr>
        <w:tabs>
          <w:tab w:val="num" w:pos="360"/>
        </w:tabs>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Sensitive to input accuracy</w:t>
      </w:r>
    </w:p>
    <w:p w14:paraId="01AEA597" w14:textId="77777777" w:rsidR="00873D56" w:rsidRPr="00843B92" w:rsidRDefault="00873D56" w:rsidP="00812478">
      <w:pPr>
        <w:numPr>
          <w:ilvl w:val="0"/>
          <w:numId w:val="73"/>
        </w:numPr>
        <w:tabs>
          <w:tab w:val="num" w:pos="360"/>
        </w:tabs>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Can produce misleading values if formulas are misaligned</w:t>
      </w:r>
    </w:p>
    <w:p w14:paraId="24134230" w14:textId="77777777" w:rsidR="00873D56" w:rsidRPr="00843B92" w:rsidRDefault="00873D56" w:rsidP="00812478">
      <w:pPr>
        <w:numPr>
          <w:ilvl w:val="0"/>
          <w:numId w:val="73"/>
        </w:numPr>
        <w:tabs>
          <w:tab w:val="num" w:pos="360"/>
        </w:tabs>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Requires explanation for non</w:t>
      </w:r>
      <w:r w:rsidRPr="00843B92">
        <w:rPr>
          <w:rFonts w:eastAsia="Times New Roman" w:cstheme="minorHAnsi"/>
          <w:sz w:val="22"/>
          <w:lang w:val="en-AU" w:eastAsia="en-AU"/>
        </w:rPr>
        <w:noBreakHyphen/>
        <w:t>technical audiences</w:t>
      </w:r>
    </w:p>
    <w:p w14:paraId="11DEE4FD" w14:textId="77777777" w:rsidR="00873D56" w:rsidRPr="00843B92" w:rsidRDefault="00873D56" w:rsidP="00812478">
      <w:pPr>
        <w:numPr>
          <w:ilvl w:val="0"/>
          <w:numId w:val="73"/>
        </w:numPr>
        <w:tabs>
          <w:tab w:val="num" w:pos="360"/>
        </w:tabs>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Not suitable when absolute numbers are required</w:t>
      </w:r>
    </w:p>
    <w:p w14:paraId="2F037535" w14:textId="77777777" w:rsidR="00873D56" w:rsidRPr="00843B92" w:rsidRDefault="00873D56" w:rsidP="00873D56">
      <w:pPr>
        <w:pStyle w:val="Heading3"/>
        <w:rPr>
          <w:rFonts w:eastAsia="Times New Roman"/>
          <w:sz w:val="28"/>
          <w:lang w:val="en-AU" w:eastAsia="en-AU"/>
        </w:rPr>
      </w:pPr>
      <w:bookmarkStart w:id="30" w:name="_Toc238036122"/>
      <w:r w:rsidRPr="00843B92">
        <w:rPr>
          <w:rFonts w:eastAsia="Times New Roman"/>
          <w:sz w:val="28"/>
          <w:lang w:val="en-AU" w:eastAsia="en-AU"/>
        </w:rPr>
        <w:t>Percentage Change</w:t>
      </w:r>
      <w:bookmarkEnd w:id="30"/>
    </w:p>
    <w:p w14:paraId="32B44E0B" w14:textId="77777777" w:rsidR="00873D56" w:rsidRDefault="00873D56" w:rsidP="00873D56">
      <w:pPr>
        <w:spacing w:before="120" w:after="120" w:line="240" w:lineRule="auto"/>
        <w:rPr>
          <w:rFonts w:eastAsia="Times New Roman" w:cstheme="minorHAnsi"/>
          <w:sz w:val="22"/>
          <w:lang w:val="en-AU" w:eastAsia="en-AU"/>
        </w:rPr>
      </w:pPr>
      <w:r w:rsidRPr="00716F9D">
        <w:rPr>
          <w:rFonts w:eastAsia="Times New Roman" w:cstheme="minorHAnsi"/>
          <w:sz w:val="22"/>
          <w:lang w:val="en-AU" w:eastAsia="en-AU"/>
        </w:rPr>
        <w:t>Percentage change is a simple but powerful technique for interpreting how a measure evolves over time. While more advanced statistical approaches—such as time</w:t>
      </w:r>
      <w:r w:rsidRPr="00716F9D">
        <w:rPr>
          <w:rFonts w:eastAsia="Times New Roman" w:cstheme="minorHAnsi"/>
          <w:sz w:val="22"/>
          <w:lang w:val="en-AU" w:eastAsia="en-AU"/>
        </w:rPr>
        <w:noBreakHyphen/>
        <w:t>series modelling or regression analysis</w:t>
      </w:r>
      <w:r>
        <w:rPr>
          <w:rFonts w:eastAsia="Times New Roman" w:cstheme="minorHAnsi"/>
          <w:sz w:val="22"/>
          <w:lang w:val="en-AU" w:eastAsia="en-AU"/>
        </w:rPr>
        <w:t xml:space="preserve"> - </w:t>
      </w:r>
      <w:r w:rsidRPr="00716F9D">
        <w:rPr>
          <w:rFonts w:eastAsia="Times New Roman" w:cstheme="minorHAnsi"/>
          <w:sz w:val="22"/>
          <w:lang w:val="en-AU" w:eastAsia="en-AU"/>
        </w:rPr>
        <w:t xml:space="preserve">can quantify trends with greater complexity, percentage change provides an accessible, transparent way to show direction and magnitude without requiring specialist tools. </w:t>
      </w:r>
    </w:p>
    <w:p w14:paraId="4A22C307" w14:textId="77777777" w:rsidR="00873D56" w:rsidRPr="00716F9D" w:rsidRDefault="00873D56" w:rsidP="00873D56">
      <w:pPr>
        <w:spacing w:before="120" w:after="120" w:line="240" w:lineRule="auto"/>
        <w:rPr>
          <w:rFonts w:eastAsia="Times New Roman" w:cstheme="minorHAnsi"/>
          <w:sz w:val="22"/>
          <w:lang w:val="en-AU" w:eastAsia="en-AU"/>
        </w:rPr>
      </w:pPr>
      <w:r w:rsidRPr="00716F9D">
        <w:rPr>
          <w:rFonts w:eastAsia="Times New Roman" w:cstheme="minorHAnsi"/>
          <w:sz w:val="22"/>
          <w:lang w:val="en-AU" w:eastAsia="en-AU"/>
        </w:rPr>
        <w:t>It can be applied directly to raw counts or, more effectively, to normalised rates. When used in combination with normalisation, percentage change highlights whether safety performance is improving or deteriorating independently of traffic volume or operational scale.</w:t>
      </w:r>
    </w:p>
    <w:p w14:paraId="32A0C4E0" w14:textId="77777777" w:rsidR="00873D56" w:rsidRPr="00BC3EA2" w:rsidRDefault="00873D56" w:rsidP="00873D56">
      <w:p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Percentage change can then be applied to the normalised rate:</w:t>
      </w:r>
    </w:p>
    <w:p w14:paraId="5CAD9D57" w14:textId="77777777" w:rsidR="00873D56" w:rsidRPr="005B7A67" w:rsidRDefault="00873D56" w:rsidP="005B7A67">
      <w:pPr>
        <w:spacing w:before="120" w:after="120" w:line="240" w:lineRule="auto"/>
        <w:ind w:left="708"/>
        <w:rPr>
          <w:rFonts w:eastAsia="Times New Roman" w:cstheme="minorHAnsi"/>
          <w:sz w:val="22"/>
          <w:lang w:val="en-AU" w:eastAsia="en-AU"/>
        </w:rPr>
      </w:pPr>
      <m:oMathPara>
        <m:oMathParaPr>
          <m:jc m:val="left"/>
        </m:oMathParaPr>
        <m:oMath>
          <m:r>
            <m:rPr>
              <m:sty m:val="p"/>
            </m:rPr>
            <w:rPr>
              <w:rFonts w:ascii="Cambria Math" w:eastAsia="Times New Roman" w:hAnsi="Cambria Math" w:cstheme="minorHAnsi"/>
              <w:sz w:val="22"/>
              <w:lang w:val="en-AU" w:eastAsia="en-AU"/>
            </w:rPr>
            <m:t>Δ</m:t>
          </m:r>
          <m:d>
            <m:dPr>
              <m:ctrlPr>
                <w:rPr>
                  <w:rFonts w:ascii="Cambria Math" w:eastAsia="Times New Roman" w:hAnsi="Cambria Math" w:cstheme="minorHAnsi"/>
                  <w:sz w:val="22"/>
                  <w:lang w:val="en-AU" w:eastAsia="en-AU"/>
                </w:rPr>
              </m:ctrlPr>
            </m:dPr>
            <m:e>
              <m:r>
                <w:rPr>
                  <w:rFonts w:ascii="Cambria Math" w:eastAsia="Times New Roman" w:hAnsi="Cambria Math" w:cstheme="minorHAnsi"/>
                  <w:sz w:val="22"/>
                  <w:lang w:val="en-AU" w:eastAsia="en-AU"/>
                </w:rPr>
                <m:t>t</m:t>
              </m:r>
            </m:e>
          </m:d>
          <m:r>
            <w:rPr>
              <w:rFonts w:ascii="Cambria Math" w:eastAsia="Times New Roman" w:hAnsi="Cambria Math" w:cstheme="minorHAnsi"/>
              <w:sz w:val="22"/>
              <w:lang w:val="en-AU" w:eastAsia="en-AU"/>
            </w:rPr>
            <m:t>=</m:t>
          </m:r>
          <m:f>
            <m:fPr>
              <m:ctrlPr>
                <w:rPr>
                  <w:rFonts w:ascii="Cambria Math" w:eastAsia="Times New Roman" w:hAnsi="Cambria Math" w:cstheme="minorHAnsi"/>
                  <w:sz w:val="22"/>
                  <w:lang w:val="en-AU" w:eastAsia="en-AU"/>
                </w:rPr>
              </m:ctrlPr>
            </m:fPr>
            <m:num>
              <m:r>
                <w:rPr>
                  <w:rFonts w:ascii="Cambria Math" w:eastAsia="Times New Roman" w:hAnsi="Cambria Math" w:cstheme="minorHAnsi"/>
                  <w:sz w:val="22"/>
                  <w:lang w:val="en-AU" w:eastAsia="en-AU"/>
                </w:rPr>
                <m:t>R</m:t>
              </m:r>
              <m:d>
                <m:dPr>
                  <m:ctrlPr>
                    <w:rPr>
                      <w:rFonts w:ascii="Cambria Math" w:eastAsia="Times New Roman" w:hAnsi="Cambria Math" w:cstheme="minorHAnsi"/>
                      <w:sz w:val="22"/>
                      <w:lang w:val="en-AU" w:eastAsia="en-AU"/>
                    </w:rPr>
                  </m:ctrlPr>
                </m:dPr>
                <m:e>
                  <m:r>
                    <w:rPr>
                      <w:rFonts w:ascii="Cambria Math" w:eastAsia="Times New Roman" w:hAnsi="Cambria Math" w:cstheme="minorHAnsi"/>
                      <w:sz w:val="22"/>
                      <w:lang w:val="en-AU" w:eastAsia="en-AU"/>
                    </w:rPr>
                    <m:t>t</m:t>
                  </m:r>
                </m:e>
              </m:d>
              <m:r>
                <w:rPr>
                  <w:rFonts w:ascii="Cambria Math" w:eastAsia="Times New Roman" w:hAnsi="Cambria Math" w:cstheme="minorHAnsi"/>
                  <w:sz w:val="22"/>
                  <w:lang w:val="en-AU" w:eastAsia="en-AU"/>
                </w:rPr>
                <m:t>-R</m:t>
              </m:r>
              <m:d>
                <m:dPr>
                  <m:ctrlPr>
                    <w:rPr>
                      <w:rFonts w:ascii="Cambria Math" w:eastAsia="Times New Roman" w:hAnsi="Cambria Math" w:cstheme="minorHAnsi"/>
                      <w:sz w:val="22"/>
                      <w:lang w:val="en-AU" w:eastAsia="en-AU"/>
                    </w:rPr>
                  </m:ctrlPr>
                </m:dPr>
                <m:e>
                  <m:r>
                    <w:rPr>
                      <w:rFonts w:ascii="Cambria Math" w:eastAsia="Times New Roman" w:hAnsi="Cambria Math" w:cstheme="minorHAnsi"/>
                      <w:sz w:val="22"/>
                      <w:lang w:val="en-AU" w:eastAsia="en-AU"/>
                    </w:rPr>
                    <m:t>t-1</m:t>
                  </m:r>
                </m:e>
              </m:d>
            </m:num>
            <m:den>
              <m:r>
                <w:rPr>
                  <w:rFonts w:ascii="Cambria Math" w:eastAsia="Times New Roman" w:hAnsi="Cambria Math" w:cstheme="minorHAnsi"/>
                  <w:sz w:val="22"/>
                  <w:lang w:val="en-AU" w:eastAsia="en-AU"/>
                </w:rPr>
                <m:t>R</m:t>
              </m:r>
              <m:d>
                <m:dPr>
                  <m:ctrlPr>
                    <w:rPr>
                      <w:rFonts w:ascii="Cambria Math" w:eastAsia="Times New Roman" w:hAnsi="Cambria Math" w:cstheme="minorHAnsi"/>
                      <w:sz w:val="22"/>
                      <w:lang w:val="en-AU" w:eastAsia="en-AU"/>
                    </w:rPr>
                  </m:ctrlPr>
                </m:dPr>
                <m:e>
                  <m:r>
                    <w:rPr>
                      <w:rFonts w:ascii="Cambria Math" w:eastAsia="Times New Roman" w:hAnsi="Cambria Math" w:cstheme="minorHAnsi"/>
                      <w:sz w:val="22"/>
                      <w:lang w:val="en-AU" w:eastAsia="en-AU"/>
                    </w:rPr>
                    <m:t>t</m:t>
                  </m:r>
                  <m:r>
                    <m:rPr>
                      <m:aln/>
                    </m:rPr>
                    <w:rPr>
                      <w:rFonts w:ascii="Cambria Math" w:eastAsia="Times New Roman" w:hAnsi="Cambria Math" w:cstheme="minorHAnsi"/>
                      <w:sz w:val="22"/>
                      <w:lang w:val="en-AU" w:eastAsia="en-AU"/>
                    </w:rPr>
                    <m:t>-1</m:t>
                  </m:r>
                </m:e>
              </m:d>
            </m:den>
          </m:f>
          <m:r>
            <w:rPr>
              <w:rFonts w:ascii="Cambria Math" w:eastAsia="Times New Roman" w:hAnsi="Cambria Math" w:cstheme="minorHAnsi"/>
              <w:sz w:val="22"/>
              <w:lang w:val="en-AU" w:eastAsia="en-AU"/>
            </w:rPr>
            <m:t>×10</m:t>
          </m:r>
          <m:r>
            <w:rPr>
              <w:rFonts w:ascii="Cambria Math" w:eastAsia="Times New Roman" w:hAnsi="Cambria Math" w:cstheme="minorHAnsi"/>
              <w:sz w:val="22"/>
              <w:lang w:val="en-AU" w:eastAsia="en-AU"/>
            </w:rPr>
            <m:t>0</m:t>
          </m:r>
        </m:oMath>
      </m:oMathPara>
    </w:p>
    <w:p w14:paraId="0B79F5E4" w14:textId="77777777" w:rsidR="00873D56" w:rsidRPr="00716F9D" w:rsidRDefault="00873D56" w:rsidP="00873D56">
      <w:pPr>
        <w:spacing w:before="120" w:after="120" w:line="240" w:lineRule="auto"/>
        <w:rPr>
          <w:rFonts w:eastAsia="Times New Roman" w:cstheme="minorHAnsi"/>
          <w:sz w:val="22"/>
          <w:lang w:val="en-AU" w:eastAsia="en-AU"/>
        </w:rPr>
      </w:pPr>
      <w:r w:rsidRPr="00716F9D">
        <w:rPr>
          <w:rFonts w:eastAsia="Times New Roman" w:cstheme="minorHAnsi"/>
          <w:sz w:val="22"/>
          <w:lang w:val="en-AU" w:eastAsia="en-AU"/>
        </w:rPr>
        <w:t>Where:</w:t>
      </w:r>
    </w:p>
    <w:p w14:paraId="60DAD2CA" w14:textId="77777777" w:rsidR="00873D56" w:rsidRPr="00716F9D" w:rsidRDefault="00873D56" w:rsidP="00812478">
      <w:pPr>
        <w:numPr>
          <w:ilvl w:val="0"/>
          <w:numId w:val="75"/>
        </w:numPr>
        <w:spacing w:before="60" w:after="60" w:line="240" w:lineRule="auto"/>
        <w:ind w:left="714" w:hanging="357"/>
        <w:rPr>
          <w:rFonts w:eastAsia="Times New Roman" w:cstheme="minorHAnsi"/>
          <w:sz w:val="22"/>
          <w:lang w:val="en-AU" w:eastAsia="en-AU"/>
        </w:rPr>
      </w:pPr>
      <w:r w:rsidRPr="00F42CB9">
        <w:rPr>
          <w:rFonts w:eastAsia="Times New Roman" w:cstheme="minorHAnsi"/>
          <w:sz w:val="22"/>
          <w:lang w:val="en-AU" w:eastAsia="en-AU"/>
        </w:rPr>
        <w:t>R(t)</w:t>
      </w:r>
      <w:r w:rsidRPr="00716F9D">
        <w:rPr>
          <w:rFonts w:eastAsia="Times New Roman" w:cstheme="minorHAnsi"/>
          <w:sz w:val="22"/>
          <w:lang w:val="en-AU" w:eastAsia="en-AU"/>
        </w:rPr>
        <w:t xml:space="preserve"> = the normalised rate for year </w:t>
      </w:r>
      <w:r w:rsidRPr="00716F9D">
        <w:rPr>
          <w:rFonts w:eastAsia="Times New Roman" w:cstheme="minorHAnsi"/>
          <w:i/>
          <w:iCs/>
          <w:sz w:val="22"/>
          <w:lang w:val="en-AU" w:eastAsia="en-AU"/>
        </w:rPr>
        <w:t>t</w:t>
      </w:r>
      <w:r w:rsidRPr="00716F9D">
        <w:rPr>
          <w:rFonts w:eastAsia="Times New Roman" w:cstheme="minorHAnsi"/>
          <w:sz w:val="22"/>
          <w:lang w:val="en-AU" w:eastAsia="en-AU"/>
        </w:rPr>
        <w:t xml:space="preserve"> (e.g., incidents per 10,000 transits)</w:t>
      </w:r>
    </w:p>
    <w:p w14:paraId="45D57A9B" w14:textId="77777777" w:rsidR="00873D56" w:rsidRPr="00716F9D" w:rsidRDefault="00873D56" w:rsidP="00812478">
      <w:pPr>
        <w:numPr>
          <w:ilvl w:val="0"/>
          <w:numId w:val="75"/>
        </w:numPr>
        <w:spacing w:before="60" w:after="60" w:line="240" w:lineRule="auto"/>
        <w:ind w:left="714" w:hanging="357"/>
        <w:rPr>
          <w:rFonts w:eastAsia="Times New Roman" w:cstheme="minorHAnsi"/>
          <w:sz w:val="22"/>
          <w:lang w:val="en-AU" w:eastAsia="en-AU"/>
        </w:rPr>
      </w:pPr>
      <w:r w:rsidRPr="00F42CB9">
        <w:rPr>
          <w:rFonts w:eastAsia="Times New Roman" w:cstheme="minorHAnsi"/>
          <w:sz w:val="22"/>
          <w:lang w:val="en-AU" w:eastAsia="en-AU"/>
        </w:rPr>
        <w:t>R(t</w:t>
      </w:r>
      <w:r w:rsidRPr="00F42CB9">
        <w:rPr>
          <w:rFonts w:eastAsia="Times New Roman" w:cstheme="minorHAnsi"/>
          <w:sz w:val="22"/>
          <w:lang w:val="en-AU" w:eastAsia="en-AU"/>
        </w:rPr>
        <w:noBreakHyphen/>
        <w:t>1)</w:t>
      </w:r>
      <w:r w:rsidRPr="00716F9D">
        <w:rPr>
          <w:rFonts w:eastAsia="Times New Roman" w:cstheme="minorHAnsi"/>
          <w:sz w:val="22"/>
          <w:lang w:val="en-AU" w:eastAsia="en-AU"/>
        </w:rPr>
        <w:t xml:space="preserve"> = the normalised rate for the previous year</w:t>
      </w:r>
    </w:p>
    <w:p w14:paraId="29CD6360" w14:textId="02351836" w:rsidR="00873D56" w:rsidRPr="00716F9D" w:rsidRDefault="00873D56" w:rsidP="00812478">
      <w:pPr>
        <w:numPr>
          <w:ilvl w:val="0"/>
          <w:numId w:val="75"/>
        </w:numPr>
        <w:spacing w:before="60" w:after="60" w:line="240" w:lineRule="auto"/>
        <w:ind w:left="714" w:hanging="357"/>
        <w:rPr>
          <w:rFonts w:eastAsia="Times New Roman" w:cstheme="minorHAnsi"/>
          <w:sz w:val="22"/>
          <w:lang w:val="en-AU" w:eastAsia="en-AU"/>
        </w:rPr>
      </w:pPr>
      <w:r w:rsidRPr="00AD28F0">
        <w:rPr>
          <w:rFonts w:eastAsia="Times New Roman" w:cstheme="minorHAnsi"/>
          <w:sz w:val="22"/>
          <w:lang w:val="en-AU" w:eastAsia="en-AU"/>
        </w:rPr>
        <w:t>Δ(t)</w:t>
      </w:r>
      <w:r w:rsidRPr="00716F9D">
        <w:rPr>
          <w:rFonts w:eastAsia="Times New Roman" w:cstheme="minorHAnsi"/>
          <w:sz w:val="22"/>
          <w:lang w:val="en-AU" w:eastAsia="en-AU"/>
        </w:rPr>
        <w:t xml:space="preserve"> = the percentage improvement or deterioration between the two years</w:t>
      </w:r>
      <w:r w:rsidR="00AD28F0">
        <w:rPr>
          <w:rFonts w:eastAsia="Times New Roman" w:cstheme="minorHAnsi"/>
          <w:sz w:val="22"/>
          <w:lang w:val="en-AU" w:eastAsia="en-AU"/>
        </w:rPr>
        <w:t xml:space="preserve"> (or periods).</w:t>
      </w:r>
    </w:p>
    <w:p w14:paraId="476A3643" w14:textId="77777777" w:rsidR="00873D56" w:rsidRPr="00BC3EA2" w:rsidRDefault="00873D56" w:rsidP="00873D56">
      <w:p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This shows the magnitude and direction of improvement or deterioration, independent of traffic volume, raw counts, or service changes.</w:t>
      </w:r>
    </w:p>
    <w:p w14:paraId="50B080C1" w14:textId="77777777" w:rsidR="00873D56" w:rsidRPr="007213F4" w:rsidRDefault="00873D56" w:rsidP="00873D56">
      <w:pPr>
        <w:spacing w:before="120" w:after="120" w:line="240" w:lineRule="auto"/>
        <w:rPr>
          <w:rFonts w:eastAsia="Times New Roman" w:cstheme="minorHAnsi"/>
          <w:b/>
          <w:bCs/>
          <w:sz w:val="22"/>
          <w:u w:val="single"/>
          <w:lang w:val="en-AU" w:eastAsia="en-AU"/>
        </w:rPr>
      </w:pPr>
      <w:r w:rsidRPr="007213F4">
        <w:rPr>
          <w:rFonts w:eastAsia="Times New Roman" w:cstheme="minorHAnsi"/>
          <w:b/>
          <w:bCs/>
          <w:sz w:val="22"/>
          <w:u w:val="single"/>
          <w:lang w:val="en-AU" w:eastAsia="en-AU"/>
        </w:rPr>
        <w:t>Pros</w:t>
      </w:r>
    </w:p>
    <w:p w14:paraId="1E4852D8" w14:textId="77777777" w:rsidR="00873D56" w:rsidRPr="00BC3EA2" w:rsidRDefault="00873D56" w:rsidP="00812478">
      <w:pPr>
        <w:numPr>
          <w:ilvl w:val="0"/>
          <w:numId w:val="67"/>
        </w:num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Makes increases and decreases immediately visible</w:t>
      </w:r>
    </w:p>
    <w:p w14:paraId="579EDD11" w14:textId="77777777" w:rsidR="00873D56" w:rsidRPr="00BC3EA2" w:rsidRDefault="00873D56" w:rsidP="00812478">
      <w:pPr>
        <w:numPr>
          <w:ilvl w:val="0"/>
          <w:numId w:val="67"/>
        </w:num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Effective for “before vs after” comparisons</w:t>
      </w:r>
    </w:p>
    <w:p w14:paraId="0493C2A6" w14:textId="77777777" w:rsidR="00873D56" w:rsidRPr="00BC3EA2" w:rsidRDefault="00873D56" w:rsidP="00812478">
      <w:pPr>
        <w:numPr>
          <w:ilvl w:val="0"/>
          <w:numId w:val="67"/>
        </w:num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Encourages focus on trends rather than absolute values</w:t>
      </w:r>
    </w:p>
    <w:p w14:paraId="339F1C3E" w14:textId="77777777" w:rsidR="00873D56" w:rsidRPr="00BC3EA2" w:rsidRDefault="00873D56" w:rsidP="00812478">
      <w:pPr>
        <w:numPr>
          <w:ilvl w:val="0"/>
          <w:numId w:val="67"/>
        </w:num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Easy to communicate</w:t>
      </w:r>
    </w:p>
    <w:p w14:paraId="7A0B4A5D" w14:textId="77777777" w:rsidR="00873D56" w:rsidRPr="007213F4" w:rsidRDefault="00873D56" w:rsidP="00873D56">
      <w:pPr>
        <w:spacing w:before="120" w:after="120" w:line="240" w:lineRule="auto"/>
        <w:rPr>
          <w:rFonts w:eastAsia="Times New Roman" w:cstheme="minorHAnsi"/>
          <w:b/>
          <w:bCs/>
          <w:sz w:val="22"/>
          <w:u w:val="single"/>
          <w:lang w:val="en-AU" w:eastAsia="en-AU"/>
        </w:rPr>
      </w:pPr>
      <w:r w:rsidRPr="007213F4">
        <w:rPr>
          <w:rFonts w:eastAsia="Times New Roman" w:cstheme="minorHAnsi"/>
          <w:b/>
          <w:bCs/>
          <w:sz w:val="22"/>
          <w:u w:val="single"/>
          <w:lang w:val="en-AU" w:eastAsia="en-AU"/>
        </w:rPr>
        <w:t>Cons</w:t>
      </w:r>
    </w:p>
    <w:p w14:paraId="1E30DBCE" w14:textId="77777777" w:rsidR="00873D56" w:rsidRPr="00BC3EA2" w:rsidRDefault="00873D56" w:rsidP="00812478">
      <w:pPr>
        <w:numPr>
          <w:ilvl w:val="0"/>
          <w:numId w:val="68"/>
        </w:num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Can exaggerate changes when numbers are small</w:t>
      </w:r>
    </w:p>
    <w:p w14:paraId="536D37CA" w14:textId="77777777" w:rsidR="00873D56" w:rsidRPr="00BC3EA2" w:rsidRDefault="00873D56" w:rsidP="00812478">
      <w:pPr>
        <w:numPr>
          <w:ilvl w:val="0"/>
          <w:numId w:val="68"/>
        </w:num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May hide operational significance</w:t>
      </w:r>
    </w:p>
    <w:p w14:paraId="200224F0" w14:textId="77777777" w:rsidR="00873D56" w:rsidRPr="00BC3EA2" w:rsidRDefault="00873D56" w:rsidP="00812478">
      <w:pPr>
        <w:numPr>
          <w:ilvl w:val="0"/>
          <w:numId w:val="68"/>
        </w:num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Sensitive to unusual baseline years</w:t>
      </w:r>
    </w:p>
    <w:p w14:paraId="0D4FDBE4" w14:textId="77777777" w:rsidR="00873D56" w:rsidRPr="00BC3EA2" w:rsidRDefault="00873D56" w:rsidP="00812478">
      <w:pPr>
        <w:numPr>
          <w:ilvl w:val="0"/>
          <w:numId w:val="68"/>
        </w:numPr>
        <w:spacing w:before="120" w:after="120" w:line="240" w:lineRule="auto"/>
        <w:rPr>
          <w:rFonts w:eastAsia="Times New Roman" w:cstheme="minorHAnsi"/>
          <w:sz w:val="22"/>
          <w:lang w:val="en-AU" w:eastAsia="en-AU"/>
        </w:rPr>
      </w:pPr>
      <w:r w:rsidRPr="00BC3EA2">
        <w:rPr>
          <w:rFonts w:eastAsia="Times New Roman" w:cstheme="minorHAnsi"/>
          <w:sz w:val="22"/>
          <w:lang w:val="en-AU" w:eastAsia="en-AU"/>
        </w:rPr>
        <w:t>Cannot be applied when the baseline value is zero</w:t>
      </w:r>
    </w:p>
    <w:p w14:paraId="4BB35EFE" w14:textId="77777777" w:rsidR="00873D56" w:rsidRPr="00BC3EA2" w:rsidRDefault="00873D56" w:rsidP="00873D56">
      <w:pPr>
        <w:tabs>
          <w:tab w:val="num" w:pos="360"/>
        </w:tabs>
        <w:spacing w:before="120" w:after="120" w:line="240" w:lineRule="auto"/>
        <w:ind w:left="709" w:hanging="709"/>
        <w:rPr>
          <w:rFonts w:eastAsia="Times New Roman" w:cstheme="minorHAnsi"/>
          <w:b/>
          <w:bCs/>
          <w:sz w:val="22"/>
          <w:lang w:val="en-AU" w:eastAsia="en-AU"/>
        </w:rPr>
      </w:pPr>
      <w:r w:rsidRPr="00BC3EA2">
        <w:rPr>
          <w:rFonts w:eastAsia="Times New Roman" w:cstheme="minorHAnsi"/>
          <w:b/>
          <w:bCs/>
          <w:sz w:val="22"/>
          <w:lang w:val="en-AU" w:eastAsia="en-AU"/>
        </w:rPr>
        <w:t>Summary — Combined Use</w:t>
      </w:r>
    </w:p>
    <w:p w14:paraId="3B5013B6" w14:textId="77777777" w:rsidR="00873D56" w:rsidRPr="00843B92" w:rsidRDefault="00873D56" w:rsidP="00873D56">
      <w:p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Normalisation provides a fair rate. Percentage change shows how that rate changes.</w:t>
      </w:r>
    </w:p>
    <w:p w14:paraId="0A10F401" w14:textId="77777777" w:rsidR="00873D56" w:rsidRPr="00843B92" w:rsidRDefault="00873D56" w:rsidP="00873D56">
      <w:p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lastRenderedPageBreak/>
        <w:t>Used together, they provide a clear, defensible analytical picture:</w:t>
      </w:r>
    </w:p>
    <w:p w14:paraId="476D7765" w14:textId="77777777" w:rsidR="00873D56" w:rsidRPr="00843B92" w:rsidRDefault="00873D56" w:rsidP="00812478">
      <w:pPr>
        <w:numPr>
          <w:ilvl w:val="0"/>
          <w:numId w:val="74"/>
        </w:num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Groundings decreased significantly after VTS introduction.</w:t>
      </w:r>
    </w:p>
    <w:p w14:paraId="4D8A3DE6" w14:textId="77777777" w:rsidR="00873D56" w:rsidRPr="00843B92" w:rsidRDefault="00873D56" w:rsidP="00812478">
      <w:pPr>
        <w:numPr>
          <w:ilvl w:val="0"/>
          <w:numId w:val="74"/>
        </w:num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Interactions increased as reporting matured.</w:t>
      </w:r>
    </w:p>
    <w:p w14:paraId="4B758316" w14:textId="77777777" w:rsidR="00873D56" w:rsidRPr="00843B92" w:rsidRDefault="00873D56" w:rsidP="00812478">
      <w:pPr>
        <w:numPr>
          <w:ilvl w:val="0"/>
          <w:numId w:val="74"/>
        </w:num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The rate of groundings per movement fell sharply and remained low.</w:t>
      </w:r>
    </w:p>
    <w:p w14:paraId="7632B75C" w14:textId="77777777" w:rsidR="00873D56" w:rsidRDefault="00873D56" w:rsidP="00873D56">
      <w:pPr>
        <w:spacing w:before="120" w:after="120" w:line="240" w:lineRule="auto"/>
        <w:rPr>
          <w:rFonts w:eastAsia="Times New Roman" w:cstheme="minorHAnsi"/>
          <w:sz w:val="22"/>
          <w:lang w:val="en-AU" w:eastAsia="en-AU"/>
        </w:rPr>
      </w:pPr>
      <w:r w:rsidRPr="00843B92">
        <w:rPr>
          <w:rFonts w:eastAsia="Times New Roman" w:cstheme="minorHAnsi"/>
          <w:sz w:val="22"/>
          <w:lang w:val="en-AU" w:eastAsia="en-AU"/>
        </w:rPr>
        <w:t>This combined approach supports consistent, transparent interpretation without reliance on raw counts or scale</w:t>
      </w:r>
      <w:r w:rsidRPr="00843B92">
        <w:rPr>
          <w:rFonts w:eastAsia="Times New Roman" w:cstheme="minorHAnsi"/>
          <w:sz w:val="22"/>
          <w:lang w:val="en-AU" w:eastAsia="en-AU"/>
        </w:rPr>
        <w:noBreakHyphen/>
        <w:t>driven distortions.</w:t>
      </w:r>
    </w:p>
    <w:p w14:paraId="12B1327F" w14:textId="3690F488" w:rsidR="00873D56" w:rsidRPr="003E0E2A" w:rsidRDefault="00873D56" w:rsidP="00873D56">
      <w:pPr>
        <w:pStyle w:val="Heading3"/>
        <w:rPr>
          <w:rFonts w:eastAsia="Times New Roman"/>
          <w:lang w:val="en-AU" w:eastAsia="en-AU"/>
        </w:rPr>
      </w:pPr>
      <w:bookmarkStart w:id="31" w:name="_Toc238036123"/>
      <w:r w:rsidRPr="003E0E2A">
        <w:rPr>
          <w:rFonts w:eastAsia="Times New Roman"/>
          <w:lang w:val="en-AU" w:eastAsia="en-AU"/>
        </w:rPr>
        <w:t>Selecting the Appropriate Technique’s</w:t>
      </w:r>
      <w:bookmarkEnd w:id="31"/>
    </w:p>
    <w:p w14:paraId="67EB388C" w14:textId="098E5930" w:rsidR="00E14353" w:rsidRDefault="00E14353" w:rsidP="00873D56">
      <w:pPr>
        <w:spacing w:before="120" w:after="120" w:line="240" w:lineRule="auto"/>
        <w:rPr>
          <w:rFonts w:eastAsia="Times New Roman" w:cstheme="minorHAnsi"/>
          <w:b/>
          <w:bCs/>
          <w:sz w:val="22"/>
          <w:lang w:val="en-AU" w:eastAsia="en-AU"/>
        </w:rPr>
      </w:pPr>
      <w:r w:rsidRPr="00E14353">
        <w:rPr>
          <w:rFonts w:eastAsia="Times New Roman" w:cstheme="minorHAnsi"/>
          <w:sz w:val="22"/>
          <w:lang w:val="en-AU" w:eastAsia="en-AU"/>
        </w:rPr>
        <w:t>The following guidance has been prepared to assist determining which technique/s to use in demonstrating the contribution of VTS.</w:t>
      </w:r>
    </w:p>
    <w:p w14:paraId="32EADF2B" w14:textId="35004B4C" w:rsidR="00873D56" w:rsidRPr="00D13723" w:rsidRDefault="007B2D22" w:rsidP="00E14353">
      <w:pPr>
        <w:spacing w:before="120" w:after="120" w:line="240" w:lineRule="auto"/>
        <w:ind w:left="360"/>
        <w:rPr>
          <w:rFonts w:eastAsia="Times New Roman" w:cstheme="minorHAnsi"/>
          <w:b/>
          <w:bCs/>
          <w:sz w:val="22"/>
          <w:lang w:val="en-AU" w:eastAsia="en-AU"/>
        </w:rPr>
      </w:pPr>
      <w:r w:rsidRPr="00E14353">
        <w:rPr>
          <w:rFonts w:eastAsia="Times New Roman" w:cstheme="minorHAnsi"/>
          <w:noProof/>
          <w:sz w:val="22"/>
          <w:lang w:val="en-AU" w:eastAsia="en-AU"/>
          <w14:ligatures w14:val="standardContextual"/>
        </w:rPr>
        <w:drawing>
          <wp:anchor distT="0" distB="0" distL="114300" distR="114300" simplePos="0" relativeHeight="251686912" behindDoc="1" locked="0" layoutInCell="1" allowOverlap="1" wp14:anchorId="04888B21" wp14:editId="4F97FBCD">
            <wp:simplePos x="0" y="0"/>
            <wp:positionH relativeFrom="margin">
              <wp:posOffset>3268218</wp:posOffset>
            </wp:positionH>
            <wp:positionV relativeFrom="paragraph">
              <wp:posOffset>26924</wp:posOffset>
            </wp:positionV>
            <wp:extent cx="3049270" cy="3497580"/>
            <wp:effectExtent l="19050" t="19050" r="17780" b="26670"/>
            <wp:wrapTight wrapText="bothSides">
              <wp:wrapPolygon edited="0">
                <wp:start x="-135" y="-118"/>
                <wp:lineTo x="-135" y="21647"/>
                <wp:lineTo x="21591" y="21647"/>
                <wp:lineTo x="21591" y="-118"/>
                <wp:lineTo x="-135" y="-118"/>
              </wp:wrapPolygon>
            </wp:wrapTight>
            <wp:docPr id="35065993" name="Picture 2" descr="The image depicts a flowchart for analyzing traffic volume and safety data, detailing various methods such as normalization, percentage change, and trend analysi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9168" name="Picture 2" descr="The image depicts a flowchart for analyzing traffic volume and safety data, detailing various methods such as normalization, percentage change, and trend analysis.&#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3049270" cy="3497580"/>
                    </a:xfrm>
                    <a:prstGeom prst="rect">
                      <a:avLst/>
                    </a:prstGeom>
                    <a:ln>
                      <a:solidFill>
                        <a:schemeClr val="accent1"/>
                      </a:solidFill>
                    </a:ln>
                  </pic:spPr>
                </pic:pic>
              </a:graphicData>
            </a:graphic>
            <wp14:sizeRelH relativeFrom="margin">
              <wp14:pctWidth>0</wp14:pctWidth>
            </wp14:sizeRelH>
            <wp14:sizeRelV relativeFrom="margin">
              <wp14:pctHeight>0</wp14:pctHeight>
            </wp14:sizeRelV>
          </wp:anchor>
        </w:drawing>
      </w:r>
      <w:r w:rsidR="00873D56" w:rsidRPr="00D13723">
        <w:rPr>
          <w:rFonts w:eastAsia="Times New Roman" w:cstheme="minorHAnsi"/>
          <w:b/>
          <w:bCs/>
          <w:sz w:val="22"/>
          <w:lang w:val="en-AU" w:eastAsia="en-AU"/>
        </w:rPr>
        <w:t>Step 1 — Is traffic volume changing significantly across years?</w:t>
      </w:r>
    </w:p>
    <w:p w14:paraId="778054D3" w14:textId="244042E4" w:rsidR="00873D56" w:rsidRPr="00D13723" w:rsidRDefault="00873D56" w:rsidP="00812478">
      <w:pPr>
        <w:numPr>
          <w:ilvl w:val="0"/>
          <w:numId w:val="76"/>
        </w:numPr>
        <w:spacing w:before="120" w:after="120" w:line="240" w:lineRule="auto"/>
        <w:rPr>
          <w:rFonts w:eastAsia="Times New Roman" w:cstheme="minorHAnsi"/>
          <w:sz w:val="22"/>
          <w:lang w:val="en-AU" w:eastAsia="en-AU"/>
        </w:rPr>
      </w:pPr>
      <w:r w:rsidRPr="00D13723">
        <w:rPr>
          <w:rFonts w:eastAsia="Times New Roman" w:cstheme="minorHAnsi"/>
          <w:b/>
          <w:bCs/>
          <w:sz w:val="22"/>
          <w:lang w:val="en-AU" w:eastAsia="en-AU"/>
        </w:rPr>
        <w:t>Yes → Use Normalisation</w:t>
      </w:r>
      <w:r w:rsidRPr="00D13723">
        <w:rPr>
          <w:rFonts w:eastAsia="Times New Roman" w:cstheme="minorHAnsi"/>
          <w:sz w:val="22"/>
          <w:lang w:val="en-AU" w:eastAsia="en-AU"/>
        </w:rPr>
        <w:t xml:space="preserve"> Adjust incident counts to a common reference volume (e.g., per 10,000 transits).</w:t>
      </w:r>
    </w:p>
    <w:p w14:paraId="11432B8D" w14:textId="77777777" w:rsidR="00873D56" w:rsidRPr="00D13723" w:rsidRDefault="00873D56" w:rsidP="00812478">
      <w:pPr>
        <w:numPr>
          <w:ilvl w:val="0"/>
          <w:numId w:val="76"/>
        </w:numPr>
        <w:spacing w:before="120" w:after="120" w:line="240" w:lineRule="auto"/>
        <w:rPr>
          <w:rFonts w:eastAsia="Times New Roman" w:cstheme="minorHAnsi"/>
          <w:sz w:val="22"/>
          <w:lang w:val="en-AU" w:eastAsia="en-AU"/>
        </w:rPr>
      </w:pPr>
      <w:r w:rsidRPr="00D13723">
        <w:rPr>
          <w:rFonts w:eastAsia="Times New Roman" w:cstheme="minorHAnsi"/>
          <w:b/>
          <w:bCs/>
          <w:sz w:val="22"/>
          <w:lang w:val="en-AU" w:eastAsia="en-AU"/>
        </w:rPr>
        <w:t>No → Raw counts acceptable</w:t>
      </w:r>
      <w:r w:rsidRPr="00D13723">
        <w:rPr>
          <w:rFonts w:eastAsia="Times New Roman" w:cstheme="minorHAnsi"/>
          <w:sz w:val="22"/>
          <w:lang w:val="en-AU" w:eastAsia="en-AU"/>
        </w:rPr>
        <w:t xml:space="preserve"> Traffic volume is stable; normalisation is not required.</w:t>
      </w:r>
    </w:p>
    <w:p w14:paraId="58EA6E4D" w14:textId="77777777" w:rsidR="00873D56" w:rsidRPr="00D13723" w:rsidRDefault="00873D56" w:rsidP="00E14353">
      <w:pPr>
        <w:spacing w:before="120" w:after="120" w:line="240" w:lineRule="auto"/>
        <w:ind w:left="360"/>
        <w:rPr>
          <w:rFonts w:eastAsia="Times New Roman" w:cstheme="minorHAnsi"/>
          <w:b/>
          <w:bCs/>
          <w:sz w:val="22"/>
          <w:lang w:val="en-AU" w:eastAsia="en-AU"/>
        </w:rPr>
      </w:pPr>
      <w:r w:rsidRPr="00D13723">
        <w:rPr>
          <w:rFonts w:eastAsia="Times New Roman" w:cstheme="minorHAnsi"/>
          <w:b/>
          <w:bCs/>
          <w:sz w:val="22"/>
          <w:lang w:val="en-AU" w:eastAsia="en-AU"/>
        </w:rPr>
        <w:t>Step 2 — Do you need to show improvement or deterioration?</w:t>
      </w:r>
    </w:p>
    <w:p w14:paraId="34967503" w14:textId="77777777" w:rsidR="00873D56" w:rsidRPr="00D13723" w:rsidRDefault="00873D56" w:rsidP="00873D56">
      <w:pPr>
        <w:spacing w:before="120" w:after="120" w:line="240" w:lineRule="auto"/>
        <w:rPr>
          <w:rFonts w:eastAsia="Times New Roman" w:cstheme="minorHAnsi"/>
          <w:sz w:val="22"/>
          <w:lang w:val="en-AU" w:eastAsia="en-AU"/>
        </w:rPr>
      </w:pPr>
      <w:r w:rsidRPr="00D13723">
        <w:rPr>
          <w:rFonts w:eastAsia="Times New Roman" w:cstheme="minorHAnsi"/>
          <w:i/>
          <w:iCs/>
          <w:sz w:val="22"/>
          <w:lang w:val="en-AU" w:eastAsia="en-AU"/>
        </w:rPr>
        <w:t>This determines whether the analysis must show whether performance has improved or worsened between two periods, such as before and after a VTS intervention, procedural change, or operational shift.</w:t>
      </w:r>
    </w:p>
    <w:p w14:paraId="0B13C34B" w14:textId="77777777" w:rsidR="00873D56" w:rsidRPr="00D13723" w:rsidRDefault="00873D56" w:rsidP="00812478">
      <w:pPr>
        <w:numPr>
          <w:ilvl w:val="0"/>
          <w:numId w:val="77"/>
        </w:numPr>
        <w:spacing w:before="120" w:after="120" w:line="240" w:lineRule="auto"/>
        <w:rPr>
          <w:rFonts w:eastAsia="Times New Roman" w:cstheme="minorHAnsi"/>
          <w:sz w:val="22"/>
          <w:lang w:val="en-AU" w:eastAsia="en-AU"/>
        </w:rPr>
      </w:pPr>
      <w:r w:rsidRPr="00D13723">
        <w:rPr>
          <w:rFonts w:eastAsia="Times New Roman" w:cstheme="minorHAnsi"/>
          <w:b/>
          <w:bCs/>
          <w:sz w:val="22"/>
          <w:lang w:val="en-AU" w:eastAsia="en-AU"/>
        </w:rPr>
        <w:t>Yes → Use Percentage Change</w:t>
      </w:r>
      <w:r w:rsidRPr="00D13723">
        <w:rPr>
          <w:rFonts w:eastAsia="Times New Roman" w:cstheme="minorHAnsi"/>
          <w:sz w:val="22"/>
          <w:lang w:val="en-AU" w:eastAsia="en-AU"/>
        </w:rPr>
        <w:t xml:space="preserve"> Shows direction and magnitude of change over time.</w:t>
      </w:r>
    </w:p>
    <w:p w14:paraId="1037C780" w14:textId="77777777" w:rsidR="00873D56" w:rsidRPr="00D13723" w:rsidRDefault="00873D56" w:rsidP="00812478">
      <w:pPr>
        <w:numPr>
          <w:ilvl w:val="0"/>
          <w:numId w:val="77"/>
        </w:numPr>
        <w:spacing w:before="120" w:after="120" w:line="240" w:lineRule="auto"/>
        <w:rPr>
          <w:rFonts w:eastAsia="Times New Roman" w:cstheme="minorHAnsi"/>
          <w:sz w:val="22"/>
          <w:lang w:val="en-AU" w:eastAsia="en-AU"/>
        </w:rPr>
      </w:pPr>
      <w:r w:rsidRPr="00D13723">
        <w:rPr>
          <w:rFonts w:eastAsia="Times New Roman" w:cstheme="minorHAnsi"/>
          <w:b/>
          <w:bCs/>
          <w:sz w:val="22"/>
          <w:lang w:val="en-AU" w:eastAsia="en-AU"/>
        </w:rPr>
        <w:t>No → Use Normalisation or raw counts only</w:t>
      </w:r>
      <w:r w:rsidRPr="00D13723">
        <w:rPr>
          <w:rFonts w:eastAsia="Times New Roman" w:cstheme="minorHAnsi"/>
          <w:sz w:val="22"/>
          <w:lang w:val="en-AU" w:eastAsia="en-AU"/>
        </w:rPr>
        <w:t xml:space="preserve"> Trend analysis is not required.</w:t>
      </w:r>
    </w:p>
    <w:p w14:paraId="46ED3644" w14:textId="77777777" w:rsidR="00873D56" w:rsidRPr="00D13723" w:rsidRDefault="00873D56" w:rsidP="00E14353">
      <w:pPr>
        <w:spacing w:before="120" w:after="120" w:line="240" w:lineRule="auto"/>
        <w:ind w:left="360"/>
        <w:rPr>
          <w:rFonts w:eastAsia="Times New Roman" w:cstheme="minorHAnsi"/>
          <w:b/>
          <w:bCs/>
          <w:sz w:val="22"/>
          <w:lang w:val="en-AU" w:eastAsia="en-AU"/>
        </w:rPr>
      </w:pPr>
      <w:r w:rsidRPr="00D13723">
        <w:rPr>
          <w:rFonts w:eastAsia="Times New Roman" w:cstheme="minorHAnsi"/>
          <w:b/>
          <w:bCs/>
          <w:sz w:val="22"/>
          <w:lang w:val="en-AU" w:eastAsia="en-AU"/>
        </w:rPr>
        <w:t>Step 3 — Are both conditions true?</w:t>
      </w:r>
    </w:p>
    <w:p w14:paraId="1547B475" w14:textId="77777777" w:rsidR="00873D56" w:rsidRPr="00D13723" w:rsidRDefault="00873D56" w:rsidP="00E14353">
      <w:pPr>
        <w:spacing w:before="120" w:after="120" w:line="240" w:lineRule="auto"/>
        <w:ind w:left="360"/>
        <w:rPr>
          <w:rFonts w:eastAsia="Times New Roman" w:cstheme="minorHAnsi"/>
          <w:sz w:val="22"/>
          <w:lang w:val="en-AU" w:eastAsia="en-AU"/>
        </w:rPr>
      </w:pPr>
      <w:r w:rsidRPr="00D13723">
        <w:rPr>
          <w:rFonts w:eastAsia="Times New Roman" w:cstheme="minorHAnsi"/>
          <w:sz w:val="22"/>
          <w:lang w:val="en-AU" w:eastAsia="en-AU"/>
        </w:rPr>
        <w:t xml:space="preserve">(Traffic volume changes </w:t>
      </w:r>
      <w:r w:rsidRPr="00D13723">
        <w:rPr>
          <w:rFonts w:eastAsia="Times New Roman" w:cstheme="minorHAnsi"/>
          <w:b/>
          <w:bCs/>
          <w:sz w:val="22"/>
          <w:lang w:val="en-AU" w:eastAsia="en-AU"/>
        </w:rPr>
        <w:t>and</w:t>
      </w:r>
      <w:r w:rsidRPr="00D13723">
        <w:rPr>
          <w:rFonts w:eastAsia="Times New Roman" w:cstheme="minorHAnsi"/>
          <w:sz w:val="22"/>
          <w:lang w:val="en-AU" w:eastAsia="en-AU"/>
        </w:rPr>
        <w:t xml:space="preserve"> you need to show trend)</w:t>
      </w:r>
    </w:p>
    <w:p w14:paraId="7AE2B99A" w14:textId="77777777" w:rsidR="00873D56" w:rsidRPr="00D13723" w:rsidRDefault="00873D56" w:rsidP="00812478">
      <w:pPr>
        <w:numPr>
          <w:ilvl w:val="0"/>
          <w:numId w:val="78"/>
        </w:numPr>
        <w:spacing w:before="120" w:after="120" w:line="240" w:lineRule="auto"/>
        <w:rPr>
          <w:rFonts w:eastAsia="Times New Roman" w:cstheme="minorHAnsi"/>
          <w:sz w:val="22"/>
          <w:lang w:val="en-AU" w:eastAsia="en-AU"/>
        </w:rPr>
      </w:pPr>
      <w:r w:rsidRPr="00D13723">
        <w:rPr>
          <w:rFonts w:eastAsia="Times New Roman" w:cstheme="minorHAnsi"/>
          <w:b/>
          <w:bCs/>
          <w:sz w:val="22"/>
          <w:lang w:val="en-AU" w:eastAsia="en-AU"/>
        </w:rPr>
        <w:t>Yes → Use BOTH Normalisation + Percentage Change</w:t>
      </w:r>
    </w:p>
    <w:p w14:paraId="66F745A0" w14:textId="77777777" w:rsidR="00873D56" w:rsidRPr="00D13723" w:rsidRDefault="00873D56" w:rsidP="00812478">
      <w:pPr>
        <w:numPr>
          <w:ilvl w:val="1"/>
          <w:numId w:val="78"/>
        </w:numPr>
        <w:spacing w:before="120" w:after="120" w:line="240" w:lineRule="auto"/>
        <w:rPr>
          <w:rFonts w:eastAsia="Times New Roman" w:cstheme="minorHAnsi"/>
          <w:sz w:val="22"/>
          <w:lang w:val="en-AU" w:eastAsia="en-AU"/>
        </w:rPr>
      </w:pPr>
      <w:r w:rsidRPr="00D13723">
        <w:rPr>
          <w:rFonts w:eastAsia="Times New Roman" w:cstheme="minorHAnsi"/>
          <w:sz w:val="22"/>
          <w:lang w:val="en-AU" w:eastAsia="en-AU"/>
        </w:rPr>
        <w:t>Normalisation = fair rate</w:t>
      </w:r>
    </w:p>
    <w:p w14:paraId="3736EE8E" w14:textId="77777777" w:rsidR="00873D56" w:rsidRPr="00D13723" w:rsidRDefault="00873D56" w:rsidP="00812478">
      <w:pPr>
        <w:numPr>
          <w:ilvl w:val="1"/>
          <w:numId w:val="78"/>
        </w:numPr>
        <w:spacing w:before="120" w:after="120" w:line="240" w:lineRule="auto"/>
        <w:rPr>
          <w:rFonts w:eastAsia="Times New Roman" w:cstheme="minorHAnsi"/>
          <w:sz w:val="22"/>
          <w:lang w:val="en-AU" w:eastAsia="en-AU"/>
        </w:rPr>
      </w:pPr>
      <w:r w:rsidRPr="00D13723">
        <w:rPr>
          <w:rFonts w:eastAsia="Times New Roman" w:cstheme="minorHAnsi"/>
          <w:sz w:val="22"/>
          <w:lang w:val="en-AU" w:eastAsia="en-AU"/>
        </w:rPr>
        <w:t>Percentage change = direction + magnitude Together they provide a defensible, scale</w:t>
      </w:r>
      <w:r w:rsidRPr="00D13723">
        <w:rPr>
          <w:rFonts w:eastAsia="Times New Roman" w:cstheme="minorHAnsi"/>
          <w:sz w:val="22"/>
          <w:lang w:val="en-AU" w:eastAsia="en-AU"/>
        </w:rPr>
        <w:noBreakHyphen/>
        <w:t>independent trend.</w:t>
      </w:r>
    </w:p>
    <w:p w14:paraId="516A98D9" w14:textId="77777777" w:rsidR="00873D56" w:rsidRPr="00D13723" w:rsidRDefault="00873D56" w:rsidP="00812478">
      <w:pPr>
        <w:numPr>
          <w:ilvl w:val="0"/>
          <w:numId w:val="78"/>
        </w:numPr>
        <w:spacing w:before="120" w:after="120" w:line="240" w:lineRule="auto"/>
        <w:rPr>
          <w:rFonts w:eastAsia="Times New Roman" w:cstheme="minorHAnsi"/>
          <w:sz w:val="22"/>
          <w:lang w:val="en-AU" w:eastAsia="en-AU"/>
        </w:rPr>
      </w:pPr>
      <w:r w:rsidRPr="00D13723">
        <w:rPr>
          <w:rFonts w:eastAsia="Times New Roman" w:cstheme="minorHAnsi"/>
          <w:b/>
          <w:bCs/>
          <w:sz w:val="22"/>
          <w:lang w:val="en-AU" w:eastAsia="en-AU"/>
        </w:rPr>
        <w:t>No → Use the single appropriate method</w:t>
      </w:r>
      <w:r w:rsidRPr="00D13723">
        <w:rPr>
          <w:rFonts w:eastAsia="Times New Roman" w:cstheme="minorHAnsi"/>
          <w:sz w:val="22"/>
          <w:lang w:val="en-AU" w:eastAsia="en-AU"/>
        </w:rPr>
        <w:t xml:space="preserve"> Apply only Normalisation or Percentage Change as needed.</w:t>
      </w:r>
    </w:p>
    <w:p w14:paraId="01769FD1" w14:textId="77777777" w:rsidR="00873D56" w:rsidRPr="00D13723" w:rsidRDefault="00873D56" w:rsidP="00F42CB9">
      <w:pPr>
        <w:spacing w:before="120" w:after="120" w:line="240" w:lineRule="auto"/>
        <w:ind w:left="360"/>
        <w:rPr>
          <w:rFonts w:eastAsia="Times New Roman" w:cstheme="minorHAnsi"/>
          <w:b/>
          <w:bCs/>
          <w:sz w:val="22"/>
          <w:lang w:val="en-AU" w:eastAsia="en-AU"/>
        </w:rPr>
      </w:pPr>
      <w:r w:rsidRPr="00D13723">
        <w:rPr>
          <w:rFonts w:eastAsia="Times New Roman" w:cstheme="minorHAnsi"/>
          <w:b/>
          <w:bCs/>
          <w:sz w:val="22"/>
          <w:lang w:val="en-AU" w:eastAsia="en-AU"/>
        </w:rPr>
        <w:t>Step 4 — Is the baseline value zero?</w:t>
      </w:r>
    </w:p>
    <w:p w14:paraId="3EDDC661" w14:textId="77777777" w:rsidR="00873D56" w:rsidRPr="00D13723" w:rsidRDefault="00873D56" w:rsidP="00812478">
      <w:pPr>
        <w:numPr>
          <w:ilvl w:val="0"/>
          <w:numId w:val="79"/>
        </w:numPr>
        <w:spacing w:before="120" w:after="120" w:line="240" w:lineRule="auto"/>
        <w:rPr>
          <w:rFonts w:eastAsia="Times New Roman" w:cstheme="minorHAnsi"/>
          <w:sz w:val="22"/>
          <w:lang w:val="en-AU" w:eastAsia="en-AU"/>
        </w:rPr>
      </w:pPr>
      <w:r w:rsidRPr="00D13723">
        <w:rPr>
          <w:rFonts w:eastAsia="Times New Roman" w:cstheme="minorHAnsi"/>
          <w:b/>
          <w:bCs/>
          <w:sz w:val="22"/>
          <w:lang w:val="en-AU" w:eastAsia="en-AU"/>
        </w:rPr>
        <w:t>Yes → Percentage Change cannot be used</w:t>
      </w:r>
      <w:r w:rsidRPr="00D13723">
        <w:rPr>
          <w:rFonts w:eastAsia="Times New Roman" w:cstheme="minorHAnsi"/>
          <w:sz w:val="22"/>
          <w:lang w:val="en-AU" w:eastAsia="en-AU"/>
        </w:rPr>
        <w:t xml:space="preserve"> Use normalised rate or raw counts instead.</w:t>
      </w:r>
    </w:p>
    <w:p w14:paraId="5D104C95" w14:textId="77777777" w:rsidR="00873D56" w:rsidRPr="00D13723" w:rsidRDefault="00873D56" w:rsidP="00812478">
      <w:pPr>
        <w:numPr>
          <w:ilvl w:val="0"/>
          <w:numId w:val="79"/>
        </w:numPr>
        <w:spacing w:before="120" w:after="120" w:line="240" w:lineRule="auto"/>
        <w:rPr>
          <w:rFonts w:eastAsia="Times New Roman" w:cstheme="minorHAnsi"/>
          <w:sz w:val="22"/>
          <w:lang w:val="en-AU" w:eastAsia="en-AU"/>
        </w:rPr>
      </w:pPr>
      <w:r w:rsidRPr="00D13723">
        <w:rPr>
          <w:rFonts w:eastAsia="Times New Roman" w:cstheme="minorHAnsi"/>
          <w:b/>
          <w:bCs/>
          <w:sz w:val="22"/>
          <w:lang w:val="en-AU" w:eastAsia="en-AU"/>
        </w:rPr>
        <w:t>No → Percentage Change applicable</w:t>
      </w:r>
      <w:r w:rsidRPr="00D13723">
        <w:rPr>
          <w:rFonts w:eastAsia="Times New Roman" w:cstheme="minorHAnsi"/>
          <w:sz w:val="22"/>
          <w:lang w:val="en-AU" w:eastAsia="en-AU"/>
        </w:rPr>
        <w:t xml:space="preserve"> Trend comparison is valid.</w:t>
      </w:r>
    </w:p>
    <w:p w14:paraId="26F133CE" w14:textId="0C81F4E1" w:rsidR="00884712" w:rsidRPr="006C5031" w:rsidRDefault="00884712" w:rsidP="00884712">
      <w:pPr>
        <w:pStyle w:val="Heading3"/>
      </w:pPr>
      <w:bookmarkStart w:id="32" w:name="_Toc235197780"/>
      <w:bookmarkStart w:id="33" w:name="_Toc238036124"/>
      <w:r w:rsidRPr="006C5031">
        <w:t>V</w:t>
      </w:r>
      <w:r>
        <w:t>TS</w:t>
      </w:r>
      <w:r w:rsidRPr="006C5031">
        <w:t xml:space="preserve"> addressable </w:t>
      </w:r>
      <w:r>
        <w:t>situations</w:t>
      </w:r>
      <w:bookmarkEnd w:id="32"/>
      <w:bookmarkEnd w:id="33"/>
      <w:r w:rsidRPr="006C5031">
        <w:t xml:space="preserve"> </w:t>
      </w:r>
    </w:p>
    <w:p w14:paraId="0E5D2B73" w14:textId="13DB6813" w:rsidR="00884712" w:rsidRDefault="00884712" w:rsidP="00884712">
      <w:pPr>
        <w:pStyle w:val="BodyText"/>
      </w:pPr>
      <w:r>
        <w:t>Developing unsafe situations may occur anywhere within the VTS area; however, not all of these situations are VTS</w:t>
      </w:r>
      <w:r w:rsidR="00DC0C43">
        <w:rPr>
          <w:rFonts w:ascii="Cambria Math" w:hAnsi="Cambria Math" w:cs="Cambria Math"/>
        </w:rPr>
        <w:t xml:space="preserve"> </w:t>
      </w:r>
      <w:r>
        <w:t>addressable. VTS contributes to navigational safety, but it is not a panacea, nor is it responsible for mitigating every unsafe circumstance that arises within its area of responsibility.</w:t>
      </w:r>
    </w:p>
    <w:p w14:paraId="27588470" w14:textId="77777777" w:rsidR="00884712" w:rsidRDefault="00884712" w:rsidP="00884712">
      <w:pPr>
        <w:pStyle w:val="BodyText"/>
      </w:pPr>
      <w:r>
        <w:t>A VTS</w:t>
      </w:r>
      <w:r>
        <w:rPr>
          <w:rFonts w:ascii="Cambria Math" w:hAnsi="Cambria Math" w:cs="Cambria Math"/>
        </w:rPr>
        <w:t>‑</w:t>
      </w:r>
      <w:r>
        <w:t>addressable situation is one in which:</w:t>
      </w:r>
    </w:p>
    <w:p w14:paraId="09DD963B" w14:textId="77777777" w:rsidR="00884712" w:rsidRDefault="00884712" w:rsidP="00DA78AB">
      <w:pPr>
        <w:pStyle w:val="BodyText"/>
        <w:numPr>
          <w:ilvl w:val="0"/>
          <w:numId w:val="41"/>
        </w:numPr>
      </w:pPr>
      <w:r>
        <w:lastRenderedPageBreak/>
        <w:t>the developing unsafe situation is observable by the VTS (through surveillance systems, reports or other means);</w:t>
      </w:r>
    </w:p>
    <w:p w14:paraId="14D90B3C" w14:textId="77777777" w:rsidR="00884712" w:rsidRDefault="00884712" w:rsidP="00DA78AB">
      <w:pPr>
        <w:pStyle w:val="BodyText"/>
        <w:numPr>
          <w:ilvl w:val="0"/>
          <w:numId w:val="41"/>
        </w:numPr>
      </w:pPr>
      <w:r>
        <w:t>the situation is within the scope of VTS authority, as defined by the IMO VTS Guidelines and local regulations;</w:t>
      </w:r>
    </w:p>
    <w:p w14:paraId="6590C04E" w14:textId="77777777" w:rsidR="00884712" w:rsidRDefault="00884712" w:rsidP="00DA78AB">
      <w:pPr>
        <w:pStyle w:val="BodyText"/>
        <w:numPr>
          <w:ilvl w:val="0"/>
          <w:numId w:val="41"/>
        </w:numPr>
      </w:pPr>
      <w:r>
        <w:t>the vessel is able to receive and act upon VTS advice, warnings or instructions; and</w:t>
      </w:r>
    </w:p>
    <w:p w14:paraId="7D2E636C" w14:textId="77777777" w:rsidR="00884712" w:rsidRDefault="00884712" w:rsidP="00DA78AB">
      <w:pPr>
        <w:pStyle w:val="BodyText"/>
        <w:numPr>
          <w:ilvl w:val="0"/>
          <w:numId w:val="41"/>
        </w:numPr>
      </w:pPr>
      <w:r>
        <w:t>VTS interaction can reasonably influence the vessel’s behaviour or the evolution of the situation.</w:t>
      </w:r>
    </w:p>
    <w:p w14:paraId="77A9266F" w14:textId="77777777" w:rsidR="00884712" w:rsidRDefault="00884712" w:rsidP="00884712">
      <w:pPr>
        <w:pStyle w:val="BodyText"/>
      </w:pPr>
      <w:r>
        <w:t>Situations that fall outside these criteria may still be recorded for contextual awareness, but they are not considered VTS</w:t>
      </w:r>
      <w:r>
        <w:rPr>
          <w:rFonts w:ascii="Cambria Math" w:hAnsi="Cambria Math" w:cs="Cambria Math"/>
        </w:rPr>
        <w:t>‑</w:t>
      </w:r>
      <w:r>
        <w:t>addressable for the purpose of demonstrating VTS contribution.</w:t>
      </w:r>
    </w:p>
    <w:p w14:paraId="2F346870" w14:textId="77777777" w:rsidR="00884712" w:rsidRDefault="00884712" w:rsidP="00884712">
      <w:pPr>
        <w:pStyle w:val="BodyText"/>
      </w:pPr>
      <w:r>
        <w:t>Examples of non</w:t>
      </w:r>
      <w:r>
        <w:rPr>
          <w:rFonts w:ascii="Cambria Math" w:hAnsi="Cambria Math" w:cs="Cambria Math"/>
        </w:rPr>
        <w:t>‑</w:t>
      </w:r>
      <w:r>
        <w:t>addressable situations may include:</w:t>
      </w:r>
    </w:p>
    <w:p w14:paraId="08974AC3" w14:textId="77777777" w:rsidR="00884712" w:rsidRDefault="00884712" w:rsidP="00DA78AB">
      <w:pPr>
        <w:pStyle w:val="BodyText"/>
        <w:numPr>
          <w:ilvl w:val="0"/>
          <w:numId w:val="41"/>
        </w:numPr>
      </w:pPr>
      <w:r>
        <w:t>incidents occurring outside the VTS area or beyond surveillance coverage;</w:t>
      </w:r>
    </w:p>
    <w:p w14:paraId="2F1BC58D" w14:textId="77777777" w:rsidR="00884712" w:rsidRDefault="00884712" w:rsidP="00DA78AB">
      <w:pPr>
        <w:pStyle w:val="BodyText"/>
        <w:numPr>
          <w:ilvl w:val="0"/>
          <w:numId w:val="41"/>
        </w:numPr>
      </w:pPr>
      <w:r>
        <w:t>situations where the vessel is unable to receive or respond to VTS communications;</w:t>
      </w:r>
    </w:p>
    <w:p w14:paraId="57767A3A" w14:textId="77777777" w:rsidR="00884712" w:rsidRDefault="00884712" w:rsidP="00DA78AB">
      <w:pPr>
        <w:pStyle w:val="BodyText"/>
        <w:numPr>
          <w:ilvl w:val="0"/>
          <w:numId w:val="41"/>
        </w:numPr>
      </w:pPr>
      <w:r>
        <w:t>circumstances governed entirely by other authorities (e.g., pilotage decisions, tug operations, terminal instructions);</w:t>
      </w:r>
    </w:p>
    <w:p w14:paraId="773BF243" w14:textId="77777777" w:rsidR="00884712" w:rsidRDefault="00884712" w:rsidP="00DA78AB">
      <w:pPr>
        <w:pStyle w:val="BodyText"/>
        <w:numPr>
          <w:ilvl w:val="0"/>
          <w:numId w:val="41"/>
        </w:numPr>
      </w:pPr>
      <w:r>
        <w:t>events where the unsafe situation develops too rapidly for VTS to intervene;</w:t>
      </w:r>
    </w:p>
    <w:p w14:paraId="51C9E375" w14:textId="77777777" w:rsidR="00884712" w:rsidRDefault="00884712" w:rsidP="00DA78AB">
      <w:pPr>
        <w:pStyle w:val="BodyText"/>
        <w:numPr>
          <w:ilvl w:val="0"/>
          <w:numId w:val="41"/>
        </w:numPr>
      </w:pPr>
      <w:r>
        <w:t>situations arising from factors that VTS cannot influence (e.g., sudden mechanical failure with no prior indicators).</w:t>
      </w:r>
    </w:p>
    <w:p w14:paraId="4927E7BB" w14:textId="77777777" w:rsidR="00884712" w:rsidRDefault="00884712" w:rsidP="00884712">
      <w:pPr>
        <w:pStyle w:val="BodyText"/>
      </w:pPr>
      <w:r>
        <w:t>Distinguishing between addressable and non</w:t>
      </w:r>
      <w:r>
        <w:rPr>
          <w:rFonts w:ascii="Cambria Math" w:hAnsi="Cambria Math" w:cs="Cambria Math"/>
        </w:rPr>
        <w:t>‑</w:t>
      </w:r>
      <w:r>
        <w:t>addressable situations ensures that VTS contribution is interpreted accurately and fairly. It prevents over</w:t>
      </w:r>
      <w:r>
        <w:rPr>
          <w:rFonts w:ascii="Cambria Math" w:hAnsi="Cambria Math" w:cs="Cambria Math"/>
        </w:rPr>
        <w:t>‑</w:t>
      </w:r>
      <w:r>
        <w:t>attribution of responsibility to VTS and supports a balanced understanding of how VTS interacts with the wider system of complementary safety and environmental measures.</w:t>
      </w:r>
    </w:p>
    <w:p w14:paraId="62E4E64F" w14:textId="093D5CC2" w:rsidR="00D9285A" w:rsidRDefault="00884712" w:rsidP="00175F16">
      <w:pPr>
        <w:pStyle w:val="BodyText"/>
        <w:rPr>
          <w:lang w:val="en-AU" w:eastAsia="en-AU"/>
        </w:rPr>
      </w:pPr>
      <w:r>
        <w:t>This principle also reinforces that VTS contribution is demonstrated through interactions, not through the mere presence of developing unsafe situations within the VTS area.</w:t>
      </w:r>
      <w:bookmarkStart w:id="34" w:name="_Toc235197781"/>
    </w:p>
    <w:p w14:paraId="470B95FA" w14:textId="49B9404F" w:rsidR="00884712" w:rsidRDefault="00884712" w:rsidP="00884712">
      <w:pPr>
        <w:pStyle w:val="Heading3"/>
      </w:pPr>
      <w:bookmarkStart w:id="35" w:name="_Toc238036125"/>
      <w:r>
        <w:t>Evaluation – VTS Attributable</w:t>
      </w:r>
      <w:bookmarkEnd w:id="34"/>
      <w:bookmarkEnd w:id="35"/>
    </w:p>
    <w:p w14:paraId="22856141" w14:textId="77777777" w:rsidR="00884712" w:rsidRDefault="00884712" w:rsidP="00884712">
      <w:pPr>
        <w:pStyle w:val="BodyText"/>
        <w:spacing w:before="120" w:line="240" w:lineRule="auto"/>
      </w:pPr>
      <w:r>
        <w:t>Not all VTS interactions result in a measurable change in vessel behaviour, and many responses are routine. For example, a vessel may temporarily deviate from its track to avoid small craft and then return to the planned route without requiring further intervention. These interactions should still be recorded, but they are not necessarily VTS attributable.</w:t>
      </w:r>
    </w:p>
    <w:p w14:paraId="71F0AE63" w14:textId="77777777" w:rsidR="00884712" w:rsidRDefault="00884712" w:rsidP="00884712">
      <w:pPr>
        <w:pStyle w:val="BodyText"/>
        <w:spacing w:before="120" w:line="240" w:lineRule="auto"/>
      </w:pPr>
      <w:r>
        <w:t>A VTS</w:t>
      </w:r>
      <w:r>
        <w:rPr>
          <w:rFonts w:ascii="Cambria Math" w:hAnsi="Cambria Math" w:cs="Cambria Math"/>
        </w:rPr>
        <w:t>‑</w:t>
      </w:r>
      <w:r>
        <w:t>attributable interaction is one in which the VTS action (advice, warning or instruction) contributed to mitigating a developing unsafe situation. The purpose of identifying VTS</w:t>
      </w:r>
      <w:r>
        <w:rPr>
          <w:rFonts w:ascii="Cambria Math" w:hAnsi="Cambria Math" w:cs="Cambria Math"/>
        </w:rPr>
        <w:t>‑</w:t>
      </w:r>
      <w:r>
        <w:t>attributable interactions is to demonstrate VTS contribution accurately and consistently within the time</w:t>
      </w:r>
      <w:r>
        <w:rPr>
          <w:rFonts w:ascii="Cambria Math" w:hAnsi="Cambria Math" w:cs="Cambria Math"/>
        </w:rPr>
        <w:t>‑</w:t>
      </w:r>
      <w:r>
        <w:t>series dataset.</w:t>
      </w:r>
    </w:p>
    <w:p w14:paraId="395EF983" w14:textId="77777777" w:rsidR="00884712" w:rsidRDefault="00884712" w:rsidP="00884712">
      <w:pPr>
        <w:pStyle w:val="BodyText"/>
        <w:spacing w:before="120" w:line="240" w:lineRule="auto"/>
      </w:pPr>
      <w:r>
        <w:t>A VTS interaction is considered attributable when:</w:t>
      </w:r>
    </w:p>
    <w:p w14:paraId="0B96DFA6" w14:textId="77777777" w:rsidR="00884712" w:rsidRDefault="00884712" w:rsidP="00DA78AB">
      <w:pPr>
        <w:pStyle w:val="BodyText"/>
        <w:numPr>
          <w:ilvl w:val="0"/>
          <w:numId w:val="41"/>
        </w:numPr>
        <w:spacing w:before="120" w:line="240" w:lineRule="auto"/>
      </w:pPr>
      <w:r>
        <w:t>the developing unsafe situation was addressable by VTS (see Section 3.4.2);</w:t>
      </w:r>
    </w:p>
    <w:p w14:paraId="360E9A9A" w14:textId="77777777" w:rsidR="00884712" w:rsidRDefault="00884712" w:rsidP="00DA78AB">
      <w:pPr>
        <w:pStyle w:val="BodyText"/>
        <w:numPr>
          <w:ilvl w:val="0"/>
          <w:numId w:val="41"/>
        </w:numPr>
        <w:spacing w:before="120" w:line="240" w:lineRule="auto"/>
      </w:pPr>
      <w:r>
        <w:t>the VTS interaction was timely, relevant and within VTS authority;</w:t>
      </w:r>
    </w:p>
    <w:p w14:paraId="694DE1BB" w14:textId="7DEF9DFD" w:rsidR="00884712" w:rsidRDefault="00884712" w:rsidP="00DA78AB">
      <w:pPr>
        <w:pStyle w:val="BodyText"/>
        <w:numPr>
          <w:ilvl w:val="0"/>
          <w:numId w:val="41"/>
        </w:numPr>
        <w:spacing w:before="120" w:line="240" w:lineRule="auto"/>
      </w:pPr>
      <w:r>
        <w:t>the vessel’s subsequent behaviour indicates that the interaction influenced the outcome;</w:t>
      </w:r>
    </w:p>
    <w:p w14:paraId="6BD9B054" w14:textId="776B8331" w:rsidR="00884712" w:rsidRDefault="00884712" w:rsidP="00DA78AB">
      <w:pPr>
        <w:pStyle w:val="BodyText"/>
        <w:numPr>
          <w:ilvl w:val="0"/>
          <w:numId w:val="41"/>
        </w:numPr>
        <w:spacing w:before="120" w:line="240" w:lineRule="auto"/>
      </w:pPr>
      <w:r>
        <w:t>the situation was mitigated, stabilised or prevented from escalating into a casualty, incident or near miss; and</w:t>
      </w:r>
    </w:p>
    <w:p w14:paraId="194E67DA" w14:textId="555543AE" w:rsidR="00884712" w:rsidRDefault="00884712" w:rsidP="00DA78AB">
      <w:pPr>
        <w:pStyle w:val="BodyText"/>
        <w:numPr>
          <w:ilvl w:val="0"/>
          <w:numId w:val="41"/>
        </w:numPr>
        <w:spacing w:before="120" w:line="240" w:lineRule="auto"/>
      </w:pPr>
      <w:r>
        <w:t>the mitigation cannot reasonably be attributed solely to other measures (e.g., pilotage, tug operations, terminal instructions).</w:t>
      </w:r>
    </w:p>
    <w:p w14:paraId="4FEAA042" w14:textId="6C8CDECE" w:rsidR="00884712" w:rsidRDefault="00EF5C51" w:rsidP="00884712">
      <w:pPr>
        <w:pStyle w:val="BodyText"/>
        <w:spacing w:before="120" w:line="240" w:lineRule="auto"/>
      </w:pPr>
      <w:r>
        <w:rPr>
          <w:noProof/>
        </w:rPr>
        <w:lastRenderedPageBreak/>
        <w:drawing>
          <wp:anchor distT="0" distB="0" distL="114300" distR="114300" simplePos="0" relativeHeight="251687936" behindDoc="1" locked="0" layoutInCell="1" allowOverlap="1" wp14:anchorId="0EAEFC45" wp14:editId="5B5A7DE5">
            <wp:simplePos x="0" y="0"/>
            <wp:positionH relativeFrom="margin">
              <wp:align>right</wp:align>
            </wp:positionH>
            <wp:positionV relativeFrom="paragraph">
              <wp:posOffset>99695</wp:posOffset>
            </wp:positionV>
            <wp:extent cx="3283585" cy="3900805"/>
            <wp:effectExtent l="19050" t="19050" r="12065" b="23495"/>
            <wp:wrapTight wrapText="bothSides">
              <wp:wrapPolygon edited="0">
                <wp:start x="-125" y="-105"/>
                <wp:lineTo x="-125" y="21625"/>
                <wp:lineTo x="21554" y="21625"/>
                <wp:lineTo x="21554" y="-105"/>
                <wp:lineTo x="-125" y="-105"/>
              </wp:wrapPolygon>
            </wp:wrapTight>
            <wp:docPr id="417577756" name="Picture 16" descr="This diagram illustrates a flowchart for the interaction between a Vessel Traffic Service (VTS) and ships, detailing steps for monitoring, communication, and managing situations, including potential outcomes of interac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577756" name="Picture 16" descr="This diagram illustrates a flowchart for the interaction between a Vessel Traffic Service (VTS) and ships, detailing steps for monitoring, communication, and managing situations, including potential outcomes of interactions.&#10;&#10;AI-generated content may be incorrect."/>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283585" cy="3900805"/>
                    </a:xfrm>
                    <a:prstGeom prst="rect">
                      <a:avLst/>
                    </a:prstGeom>
                    <a:ln>
                      <a:solidFill>
                        <a:srgbClr val="00558C"/>
                      </a:solidFill>
                    </a:ln>
                  </pic:spPr>
                </pic:pic>
              </a:graphicData>
            </a:graphic>
          </wp:anchor>
        </w:drawing>
      </w:r>
      <w:r w:rsidR="00884712">
        <w:t>Routine interactions that do not influence the evolution of the situation should be recorded but marked as not attributable. This distinction ensures that the dataset reflects genuine VTS contribution rather than normal operational communications.</w:t>
      </w:r>
    </w:p>
    <w:p w14:paraId="7712F3B1" w14:textId="571E9EF0" w:rsidR="00884712" w:rsidRDefault="00884712" w:rsidP="00884712">
      <w:pPr>
        <w:pStyle w:val="BodyText"/>
        <w:spacing w:before="120" w:line="240" w:lineRule="auto"/>
      </w:pPr>
      <w:r>
        <w:t>Examples of VTS</w:t>
      </w:r>
      <w:r>
        <w:rPr>
          <w:rFonts w:ascii="Cambria Math" w:hAnsi="Cambria Math" w:cs="Cambria Math"/>
        </w:rPr>
        <w:t>‑</w:t>
      </w:r>
      <w:r>
        <w:t>attributable interactions include:</w:t>
      </w:r>
    </w:p>
    <w:p w14:paraId="2D1BC6D6" w14:textId="77777777" w:rsidR="00884712" w:rsidRDefault="00884712" w:rsidP="00DA78AB">
      <w:pPr>
        <w:pStyle w:val="BodyText"/>
        <w:numPr>
          <w:ilvl w:val="0"/>
          <w:numId w:val="41"/>
        </w:numPr>
        <w:spacing w:before="120" w:line="240" w:lineRule="auto"/>
      </w:pPr>
      <w:r>
        <w:t>a warning that prompts a vessel to alter course to avoid shallow water;</w:t>
      </w:r>
    </w:p>
    <w:p w14:paraId="1DA7CB33" w14:textId="4E514924" w:rsidR="00884712" w:rsidRDefault="00884712" w:rsidP="00DA78AB">
      <w:pPr>
        <w:pStyle w:val="BodyText"/>
        <w:numPr>
          <w:ilvl w:val="0"/>
          <w:numId w:val="41"/>
        </w:numPr>
        <w:spacing w:before="120" w:line="240" w:lineRule="auto"/>
      </w:pPr>
      <w:r>
        <w:t>advice that assists a vessel experiencing equipment failure to maintain safe navigation;</w:t>
      </w:r>
    </w:p>
    <w:p w14:paraId="492B13A2" w14:textId="195A8145" w:rsidR="00884712" w:rsidRDefault="00884712" w:rsidP="00DA78AB">
      <w:pPr>
        <w:pStyle w:val="BodyText"/>
        <w:numPr>
          <w:ilvl w:val="0"/>
          <w:numId w:val="41"/>
        </w:numPr>
        <w:spacing w:before="120" w:line="240" w:lineRule="auto"/>
      </w:pPr>
      <w:r>
        <w:t>an instruction that prevents a close</w:t>
      </w:r>
      <w:r>
        <w:rPr>
          <w:rFonts w:ascii="Cambria Math" w:hAnsi="Cambria Math" w:cs="Cambria Math"/>
        </w:rPr>
        <w:t>‑</w:t>
      </w:r>
      <w:r>
        <w:t>quarters situation from escalating into a collision;</w:t>
      </w:r>
    </w:p>
    <w:p w14:paraId="149CF8DC" w14:textId="03D0FE59" w:rsidR="00884712" w:rsidRDefault="00884712" w:rsidP="00DA78AB">
      <w:pPr>
        <w:pStyle w:val="BodyText"/>
        <w:numPr>
          <w:ilvl w:val="0"/>
          <w:numId w:val="41"/>
        </w:numPr>
        <w:spacing w:before="120" w:line="240" w:lineRule="auto"/>
      </w:pPr>
      <w:r>
        <w:t>coordinated communication that supports emergency response and reduces risk to the vessel or environment.</w:t>
      </w:r>
    </w:p>
    <w:p w14:paraId="6503BC94" w14:textId="77777777" w:rsidR="00884712" w:rsidRDefault="00884712" w:rsidP="00884712">
      <w:pPr>
        <w:pStyle w:val="BodyText"/>
        <w:spacing w:before="120" w:line="240" w:lineRule="auto"/>
      </w:pPr>
      <w:r>
        <w:t>Examples of non</w:t>
      </w:r>
      <w:r>
        <w:rPr>
          <w:rFonts w:ascii="Cambria Math" w:hAnsi="Cambria Math" w:cs="Cambria Math"/>
        </w:rPr>
        <w:t>‑</w:t>
      </w:r>
      <w:r>
        <w:t>attributable interactions include:</w:t>
      </w:r>
    </w:p>
    <w:p w14:paraId="5B665D7E" w14:textId="77777777" w:rsidR="00884712" w:rsidRDefault="00884712" w:rsidP="00DA78AB">
      <w:pPr>
        <w:pStyle w:val="BodyText"/>
        <w:numPr>
          <w:ilvl w:val="0"/>
          <w:numId w:val="41"/>
        </w:numPr>
        <w:spacing w:before="120" w:line="240" w:lineRule="auto"/>
      </w:pPr>
      <w:r>
        <w:t>routine traffic information that does not influence vessel behaviour;</w:t>
      </w:r>
    </w:p>
    <w:p w14:paraId="011DA1EA" w14:textId="77777777" w:rsidR="00884712" w:rsidRDefault="00884712" w:rsidP="00DA78AB">
      <w:pPr>
        <w:pStyle w:val="BodyText"/>
        <w:numPr>
          <w:ilvl w:val="0"/>
          <w:numId w:val="41"/>
        </w:numPr>
        <w:spacing w:before="120" w:line="240" w:lineRule="auto"/>
      </w:pPr>
      <w:r>
        <w:t>interactions where the vessel was already correcting its course or situation independently;</w:t>
      </w:r>
    </w:p>
    <w:p w14:paraId="68D93A23" w14:textId="322D6099" w:rsidR="00884712" w:rsidRDefault="00884712" w:rsidP="00DA78AB">
      <w:pPr>
        <w:pStyle w:val="BodyText"/>
        <w:numPr>
          <w:ilvl w:val="0"/>
          <w:numId w:val="41"/>
        </w:numPr>
        <w:spacing w:before="120" w:line="240" w:lineRule="auto"/>
      </w:pPr>
      <w:r>
        <w:t>situations resolved entirely by other parties (e.g., pilot, tug master, terminal operator);</w:t>
      </w:r>
    </w:p>
    <w:p w14:paraId="70985064" w14:textId="77777777" w:rsidR="00884712" w:rsidRDefault="00884712" w:rsidP="00DA78AB">
      <w:pPr>
        <w:pStyle w:val="BodyText"/>
        <w:numPr>
          <w:ilvl w:val="0"/>
          <w:numId w:val="41"/>
        </w:numPr>
        <w:spacing w:before="120" w:line="240" w:lineRule="auto"/>
      </w:pPr>
      <w:r>
        <w:t>interactions where the unsafe situation developed too rapidly for VTS to influence the outcome.</w:t>
      </w:r>
    </w:p>
    <w:p w14:paraId="1E51056A" w14:textId="1DA56D3B" w:rsidR="00884712" w:rsidRDefault="00884712" w:rsidP="00884712">
      <w:pPr>
        <w:pStyle w:val="BodyText"/>
        <w:spacing w:before="120" w:line="240" w:lineRule="auto"/>
      </w:pPr>
      <w:r>
        <w:t>To achieve maximum benefit, all interactions—whether generated by Decision Support Tools (DSTs), initiated by operators, or requested by vessels—should be recorded and flagged in the dataset as VTS attributable (Y/N). This supports consistent evaluation, transparent reporting and accurate communication with stakeholders.</w:t>
      </w:r>
    </w:p>
    <w:p w14:paraId="25497B5E" w14:textId="1AF3D886" w:rsidR="00884712" w:rsidRDefault="00884712" w:rsidP="00884712">
      <w:pPr>
        <w:pStyle w:val="Heading3"/>
      </w:pPr>
      <w:bookmarkStart w:id="36" w:name="_Toc238036126"/>
      <w:r>
        <w:t xml:space="preserve">Assessment </w:t>
      </w:r>
      <w:r w:rsidR="008A274A">
        <w:t xml:space="preserve">and </w:t>
      </w:r>
      <w:r>
        <w:t>Review</w:t>
      </w:r>
      <w:bookmarkEnd w:id="36"/>
    </w:p>
    <w:p w14:paraId="0F0E800C" w14:textId="77777777" w:rsidR="00884712" w:rsidRDefault="00884712" w:rsidP="00884712">
      <w:pPr>
        <w:pStyle w:val="BodyText"/>
        <w:spacing w:before="120" w:line="240" w:lineRule="auto"/>
      </w:pPr>
      <w:r>
        <w:t xml:space="preserve">Consideration should be given to regularly reviewing recorded situations and the assessment made.  For example, it is a standing item at quarterly management meetings to ensure the assessments made in a consistent manner. </w:t>
      </w:r>
    </w:p>
    <w:p w14:paraId="3A52F6FF" w14:textId="5091C9CE" w:rsidR="00884712" w:rsidRDefault="00F349E8" w:rsidP="00884712">
      <w:pPr>
        <w:pStyle w:val="Heading2"/>
      </w:pPr>
      <w:bookmarkStart w:id="37" w:name="_Toc238036127"/>
      <w:r w:rsidRPr="00F349E8">
        <w:t>Ex</w:t>
      </w:r>
      <w:r w:rsidR="00EA7648">
        <w:t>amples</w:t>
      </w:r>
      <w:bookmarkEnd w:id="37"/>
    </w:p>
    <w:p w14:paraId="1BDA55AD" w14:textId="77777777" w:rsidR="00884712" w:rsidRDefault="00884712" w:rsidP="00884712">
      <w:pPr>
        <w:pStyle w:val="BodyText"/>
      </w:pPr>
      <w:r>
        <w:t>Example worksheets for establishing and maintaining the time</w:t>
      </w:r>
      <w:r>
        <w:rPr>
          <w:rFonts w:ascii="Cambria Math" w:hAnsi="Cambria Math" w:cs="Cambria Math"/>
        </w:rPr>
        <w:t>‑</w:t>
      </w:r>
      <w:r>
        <w:t>series dataset, and for illustrating how information can be presented and communicated, are provided in the following Annexes:</w:t>
      </w:r>
    </w:p>
    <w:p w14:paraId="22159ACD" w14:textId="77777777" w:rsidR="00884712" w:rsidRPr="00F17A82" w:rsidRDefault="00884712" w:rsidP="009C4F07">
      <w:pPr>
        <w:pStyle w:val="BodyText"/>
        <w:numPr>
          <w:ilvl w:val="0"/>
          <w:numId w:val="42"/>
        </w:numPr>
      </w:pPr>
      <w:r w:rsidRPr="002C4883">
        <w:rPr>
          <w:b/>
          <w:bCs/>
        </w:rPr>
        <w:t>Annex A</w:t>
      </w:r>
      <w:r w:rsidRPr="00F17A82">
        <w:t xml:space="preserve"> – Example Dataset Structure and Coding Schemes  </w:t>
      </w:r>
    </w:p>
    <w:p w14:paraId="31E072DB" w14:textId="77777777" w:rsidR="00884712" w:rsidRDefault="00884712" w:rsidP="00884712">
      <w:pPr>
        <w:pStyle w:val="BodyText"/>
        <w:ind w:left="708"/>
      </w:pPr>
      <w:r>
        <w:t>Provides a sample layout for recording VTS interactions, developing unsafe situations, traffic volumes and associated safety measures. Includes coding conventions to support consistency across VTS centres.</w:t>
      </w:r>
    </w:p>
    <w:p w14:paraId="0AA300DF" w14:textId="77777777" w:rsidR="00884712" w:rsidRPr="00F17A82" w:rsidRDefault="00884712" w:rsidP="00DA78AB">
      <w:pPr>
        <w:pStyle w:val="BodyText"/>
        <w:numPr>
          <w:ilvl w:val="0"/>
          <w:numId w:val="42"/>
        </w:numPr>
        <w:rPr>
          <w:b/>
          <w:bCs/>
        </w:rPr>
      </w:pPr>
      <w:r w:rsidRPr="00F17A82">
        <w:rPr>
          <w:b/>
          <w:bCs/>
        </w:rPr>
        <w:t xml:space="preserve">Annex B – Worked Example (One Month of VTS Data)  </w:t>
      </w:r>
    </w:p>
    <w:p w14:paraId="2A651F2A" w14:textId="77777777" w:rsidR="00884712" w:rsidRDefault="00884712" w:rsidP="00884712">
      <w:pPr>
        <w:pStyle w:val="BodyText"/>
        <w:ind w:left="708"/>
      </w:pPr>
      <w:r>
        <w:t>Demonstrates how the methodology can be applied in practice using a short, representative dataset. Shows how interactions are categorised, how developing unsafe situations are recorded and how VTS</w:t>
      </w:r>
      <w:r>
        <w:rPr>
          <w:rFonts w:ascii="Cambria Math" w:hAnsi="Cambria Math" w:cs="Cambria Math"/>
        </w:rPr>
        <w:t>‑</w:t>
      </w:r>
      <w:r>
        <w:t>attributable outcomes are identified.</w:t>
      </w:r>
    </w:p>
    <w:p w14:paraId="046951EC" w14:textId="77777777" w:rsidR="00884712" w:rsidRPr="00F17A82" w:rsidRDefault="00884712" w:rsidP="00DA78AB">
      <w:pPr>
        <w:pStyle w:val="BodyText"/>
        <w:numPr>
          <w:ilvl w:val="0"/>
          <w:numId w:val="42"/>
        </w:numPr>
        <w:rPr>
          <w:b/>
          <w:bCs/>
        </w:rPr>
      </w:pPr>
      <w:r w:rsidRPr="00F17A82">
        <w:rPr>
          <w:b/>
          <w:bCs/>
        </w:rPr>
        <w:t xml:space="preserve">Annex C – Definitions and Terminology  </w:t>
      </w:r>
    </w:p>
    <w:p w14:paraId="57787F09" w14:textId="77777777" w:rsidR="00884712" w:rsidRDefault="00884712" w:rsidP="00884712">
      <w:pPr>
        <w:pStyle w:val="BodyText"/>
        <w:ind w:left="720"/>
      </w:pPr>
      <w:r>
        <w:t>Contains standardised definitions used throughout the methodology, supporting consistent interpretation and communication across VTS centres, authorities and stakeholders.</w:t>
      </w:r>
    </w:p>
    <w:p w14:paraId="44AE4DDE" w14:textId="77777777" w:rsidR="00884712" w:rsidRPr="00F17A82" w:rsidRDefault="00884712" w:rsidP="00DA78AB">
      <w:pPr>
        <w:pStyle w:val="BodyText"/>
        <w:numPr>
          <w:ilvl w:val="0"/>
          <w:numId w:val="42"/>
        </w:numPr>
        <w:rPr>
          <w:b/>
          <w:bCs/>
        </w:rPr>
      </w:pPr>
      <w:r w:rsidRPr="00F17A82">
        <w:rPr>
          <w:b/>
          <w:bCs/>
        </w:rPr>
        <w:lastRenderedPageBreak/>
        <w:t xml:space="preserve">Annex D – Template for Reporting VTS Contribution  </w:t>
      </w:r>
    </w:p>
    <w:p w14:paraId="6DEE1011" w14:textId="77777777" w:rsidR="00884712" w:rsidRDefault="00884712" w:rsidP="00884712">
      <w:pPr>
        <w:pStyle w:val="BodyText"/>
        <w:ind w:left="720"/>
      </w:pPr>
      <w:r>
        <w:t>Provides a structured reporting format for summarising VTS contribution over a defined period, including narrative explanation, key metrics, normalised data and contextual information.</w:t>
      </w:r>
    </w:p>
    <w:p w14:paraId="60EB54E2" w14:textId="77777777" w:rsidR="00884712" w:rsidRPr="00F17A82" w:rsidRDefault="00884712" w:rsidP="00DA78AB">
      <w:pPr>
        <w:pStyle w:val="BodyText"/>
        <w:numPr>
          <w:ilvl w:val="0"/>
          <w:numId w:val="42"/>
        </w:numPr>
        <w:rPr>
          <w:b/>
          <w:bCs/>
        </w:rPr>
      </w:pPr>
      <w:r w:rsidRPr="00F17A82">
        <w:rPr>
          <w:b/>
          <w:bCs/>
        </w:rPr>
        <w:t xml:space="preserve">Annex F – Example Graphs  </w:t>
      </w:r>
    </w:p>
    <w:p w14:paraId="3F2453EB" w14:textId="77777777" w:rsidR="00884712" w:rsidRDefault="00884712" w:rsidP="00884712">
      <w:pPr>
        <w:pStyle w:val="BodyText"/>
        <w:ind w:left="720"/>
      </w:pPr>
      <w:r>
        <w:t>Illustrates how time</w:t>
      </w:r>
      <w:r>
        <w:rPr>
          <w:rFonts w:ascii="Cambria Math" w:hAnsi="Cambria Math" w:cs="Cambria Math"/>
        </w:rPr>
        <w:t>‑</w:t>
      </w:r>
      <w:r>
        <w:t>series data may be visualised, including normalised trends, developing unsafe situations, VTS</w:t>
      </w:r>
      <w:r>
        <w:rPr>
          <w:rFonts w:ascii="Cambria Math" w:hAnsi="Cambria Math" w:cs="Cambria Math"/>
        </w:rPr>
        <w:t>‑</w:t>
      </w:r>
      <w:r>
        <w:t>attributable interactions and the introduction or evolution of other safety and environmental measures.</w:t>
      </w:r>
    </w:p>
    <w:p w14:paraId="6FB434D6" w14:textId="77777777" w:rsidR="00884712" w:rsidRDefault="00884712" w:rsidP="00884712">
      <w:pPr>
        <w:pStyle w:val="BodyText"/>
      </w:pPr>
      <w:r>
        <w:t>These annexes support practical implementation of the methodology and provide examples that can be adapted to local requirements, operational contexts and regulatory frameworks</w:t>
      </w:r>
    </w:p>
    <w:p w14:paraId="6F5BE71B" w14:textId="77777777" w:rsidR="00884712" w:rsidRDefault="00884712" w:rsidP="00884712">
      <w:pPr>
        <w:pStyle w:val="BodyText"/>
      </w:pPr>
      <w:r>
        <w:t>Example worksheets for establishing / maintain the time series dataset and how information can be presented / communicated is provided in the following Annexes:</w:t>
      </w:r>
    </w:p>
    <w:p w14:paraId="33BDF045" w14:textId="77777777" w:rsidR="00884712" w:rsidRDefault="00884712" w:rsidP="00DA78AB">
      <w:pPr>
        <w:pStyle w:val="BodyText"/>
        <w:numPr>
          <w:ilvl w:val="0"/>
          <w:numId w:val="37"/>
        </w:numPr>
        <w:spacing w:before="120" w:line="240" w:lineRule="auto"/>
        <w:ind w:left="714" w:hanging="357"/>
      </w:pPr>
      <w:r>
        <w:t>ANNEX A - Example Dataset Structure and Coding Schemes</w:t>
      </w:r>
    </w:p>
    <w:p w14:paraId="18B74B7B" w14:textId="77777777" w:rsidR="00884712" w:rsidRDefault="00884712" w:rsidP="00DA78AB">
      <w:pPr>
        <w:pStyle w:val="BodyText"/>
        <w:numPr>
          <w:ilvl w:val="0"/>
          <w:numId w:val="37"/>
        </w:numPr>
        <w:spacing w:before="120" w:line="240" w:lineRule="auto"/>
        <w:ind w:left="714" w:hanging="357"/>
      </w:pPr>
      <w:r>
        <w:t>ANNEX B - Worked Example (One Month of VTS Data)</w:t>
      </w:r>
    </w:p>
    <w:p w14:paraId="4AD75AF1" w14:textId="77777777" w:rsidR="00884712" w:rsidRDefault="00884712" w:rsidP="00DA78AB">
      <w:pPr>
        <w:pStyle w:val="BodyText"/>
        <w:numPr>
          <w:ilvl w:val="0"/>
          <w:numId w:val="37"/>
        </w:numPr>
        <w:spacing w:before="120" w:line="240" w:lineRule="auto"/>
        <w:ind w:left="714" w:hanging="357"/>
      </w:pPr>
      <w:r>
        <w:t>ANNEX C - Definitions and Terminology</w:t>
      </w:r>
    </w:p>
    <w:p w14:paraId="42C89E4D" w14:textId="77777777" w:rsidR="00884712" w:rsidRDefault="00884712" w:rsidP="00DA78AB">
      <w:pPr>
        <w:pStyle w:val="BodyText"/>
        <w:numPr>
          <w:ilvl w:val="0"/>
          <w:numId w:val="37"/>
        </w:numPr>
        <w:spacing w:before="120" w:line="240" w:lineRule="auto"/>
        <w:ind w:left="714" w:hanging="357"/>
      </w:pPr>
      <w:r>
        <w:t>ANNEX D - Template for Reporting VTS Contribution</w:t>
      </w:r>
    </w:p>
    <w:p w14:paraId="256DC624" w14:textId="77777777" w:rsidR="00884712" w:rsidRPr="00AD47BE" w:rsidRDefault="00884712" w:rsidP="00DA78AB">
      <w:pPr>
        <w:pStyle w:val="BodyText"/>
        <w:numPr>
          <w:ilvl w:val="0"/>
          <w:numId w:val="37"/>
        </w:numPr>
        <w:spacing w:before="120" w:line="240" w:lineRule="auto"/>
        <w:ind w:left="714" w:hanging="357"/>
      </w:pPr>
      <w:r>
        <w:t>ANNEX F - Example Graphs</w:t>
      </w:r>
    </w:p>
    <w:p w14:paraId="47F4EA68" w14:textId="158D50C0" w:rsidR="00D9285A" w:rsidRDefault="00D9285A" w:rsidP="001D23D5">
      <w:pPr>
        <w:pStyle w:val="Heading1"/>
      </w:pPr>
      <w:bookmarkStart w:id="38" w:name="_Toc235197783"/>
      <w:bookmarkStart w:id="39" w:name="_Toc238036128"/>
      <w:r>
        <w:t>Application of the methodology</w:t>
      </w:r>
      <w:bookmarkEnd w:id="39"/>
    </w:p>
    <w:p w14:paraId="3146AA84" w14:textId="77777777" w:rsidR="001926E5" w:rsidRPr="00175F16" w:rsidRDefault="001926E5" w:rsidP="00175F16">
      <w:pPr>
        <w:pStyle w:val="Heading1separationline"/>
      </w:pPr>
    </w:p>
    <w:bookmarkEnd w:id="38"/>
    <w:p w14:paraId="4DBC4C8B" w14:textId="3102CC6C" w:rsidR="00884712" w:rsidRDefault="00884712" w:rsidP="001428CC">
      <w:pPr>
        <w:pStyle w:val="BodyText"/>
      </w:pPr>
      <w:r>
        <w:t xml:space="preserve">This section describes how the methodology </w:t>
      </w:r>
      <w:r w:rsidR="005A0060">
        <w:t xml:space="preserve">set out in Section </w:t>
      </w:r>
      <w:r w:rsidR="00B526A4">
        <w:t>4</w:t>
      </w:r>
      <w:r w:rsidR="005A0060">
        <w:t xml:space="preserve"> </w:t>
      </w:r>
      <w:r>
        <w:t>can be applied in practice to demonstrate VTS contribution using graphical outputs, structured reporting formats</w:t>
      </w:r>
      <w:r w:rsidR="00D15045">
        <w:t>,</w:t>
      </w:r>
      <w:r>
        <w:t xml:space="preserve"> and long</w:t>
      </w:r>
      <w:r>
        <w:rPr>
          <w:rFonts w:ascii="Cambria Math" w:hAnsi="Cambria Math" w:cs="Cambria Math"/>
        </w:rPr>
        <w:t>‑</w:t>
      </w:r>
      <w:r>
        <w:t>term trend analysis. It outlines the steps required to convert time</w:t>
      </w:r>
      <w:r>
        <w:rPr>
          <w:rFonts w:ascii="Cambria Math" w:hAnsi="Cambria Math" w:cs="Cambria Math"/>
        </w:rPr>
        <w:t>‑</w:t>
      </w:r>
      <w:r>
        <w:t xml:space="preserve">series data into clear visual representations, interpret developing unsafe situations, and communicate findings. </w:t>
      </w:r>
    </w:p>
    <w:p w14:paraId="4BD152BA" w14:textId="0DEB7855" w:rsidR="00884712" w:rsidRDefault="008678D5" w:rsidP="00884712">
      <w:pPr>
        <w:pStyle w:val="BodyText"/>
      </w:pPr>
      <w:r>
        <w:t xml:space="preserve">The examples provided illustrate how VTS centres can adapt the </w:t>
      </w:r>
      <w:r w:rsidR="00884712">
        <w:t xml:space="preserve">methodology </w:t>
      </w:r>
      <w:r w:rsidR="00AE7159">
        <w:t>using</w:t>
      </w:r>
      <w:r w:rsidR="00884712">
        <w:t xml:space="preserve"> existing operational records</w:t>
      </w:r>
      <w:r w:rsidR="00535FC6">
        <w:t xml:space="preserve"> and</w:t>
      </w:r>
      <w:r w:rsidR="00884712">
        <w:t xml:space="preserve"> interaction logs. The aim is not to produce complex statistical models, but to present clear, structured evidence showing how VTS contributes to mitigating developing unsafe situations and supporting navigational safety.</w:t>
      </w:r>
    </w:p>
    <w:p w14:paraId="3207A10A" w14:textId="090EECE7" w:rsidR="00D9285A" w:rsidRPr="00175F16" w:rsidRDefault="00D9285A" w:rsidP="002B7DE2">
      <w:pPr>
        <w:pStyle w:val="Heading2"/>
      </w:pPr>
      <w:bookmarkStart w:id="40" w:name="_Toc235197784"/>
      <w:bookmarkStart w:id="41" w:name="_Toc238036129"/>
      <w:r>
        <w:t>Preparing the dataset</w:t>
      </w:r>
      <w:bookmarkEnd w:id="41"/>
    </w:p>
    <w:bookmarkEnd w:id="40"/>
    <w:p w14:paraId="4401BC27" w14:textId="77777777" w:rsidR="00884712" w:rsidRDefault="00884712" w:rsidP="00884712">
      <w:pPr>
        <w:pStyle w:val="BodyText"/>
      </w:pPr>
      <w:r>
        <w:t>Before graphical outputs can be generated, the time</w:t>
      </w:r>
      <w:r>
        <w:rPr>
          <w:rFonts w:ascii="Cambria Math" w:hAnsi="Cambria Math" w:cs="Cambria Math"/>
        </w:rPr>
        <w:t>‑</w:t>
      </w:r>
      <w:r>
        <w:t xml:space="preserve">series dataset must be assembled using the data elements described in </w:t>
      </w:r>
      <w:r w:rsidRPr="00175F16">
        <w:rPr>
          <w:highlight w:val="yellow"/>
        </w:rPr>
        <w:t>Section</w:t>
      </w:r>
      <w:r w:rsidRPr="00175F16">
        <w:rPr>
          <w:rFonts w:ascii="Calibri" w:hAnsi="Calibri" w:cs="Calibri"/>
          <w:highlight w:val="yellow"/>
        </w:rPr>
        <w:t> </w:t>
      </w:r>
      <w:r w:rsidRPr="00175F16">
        <w:rPr>
          <w:highlight w:val="yellow"/>
        </w:rPr>
        <w:t>3.3.7</w:t>
      </w:r>
      <w:r>
        <w:t>. This includes:</w:t>
      </w:r>
    </w:p>
    <w:p w14:paraId="119BF5FE" w14:textId="77777777" w:rsidR="00884712" w:rsidRDefault="00884712" w:rsidP="00DA78AB">
      <w:pPr>
        <w:pStyle w:val="BodyText"/>
        <w:numPr>
          <w:ilvl w:val="0"/>
          <w:numId w:val="44"/>
        </w:numPr>
      </w:pPr>
      <w:r>
        <w:t>VTS interaction records</w:t>
      </w:r>
    </w:p>
    <w:p w14:paraId="2738D23D" w14:textId="77777777" w:rsidR="00884712" w:rsidRDefault="00884712" w:rsidP="00DA78AB">
      <w:pPr>
        <w:pStyle w:val="BodyText"/>
        <w:numPr>
          <w:ilvl w:val="0"/>
          <w:numId w:val="44"/>
        </w:numPr>
      </w:pPr>
      <w:r>
        <w:t>developing unsafe situations</w:t>
      </w:r>
    </w:p>
    <w:p w14:paraId="49E63425" w14:textId="77777777" w:rsidR="00884712" w:rsidRDefault="00884712" w:rsidP="00DA78AB">
      <w:pPr>
        <w:pStyle w:val="BodyText"/>
        <w:numPr>
          <w:ilvl w:val="0"/>
          <w:numId w:val="44"/>
        </w:numPr>
      </w:pPr>
      <w:r>
        <w:t>VTS</w:t>
      </w:r>
      <w:r>
        <w:rPr>
          <w:rFonts w:ascii="Cambria Math" w:hAnsi="Cambria Math" w:cs="Cambria Math"/>
        </w:rPr>
        <w:t>‑</w:t>
      </w:r>
      <w:r>
        <w:t>attributable outcomes</w:t>
      </w:r>
    </w:p>
    <w:p w14:paraId="1F6B3BF2" w14:textId="77777777" w:rsidR="00884712" w:rsidRDefault="00884712" w:rsidP="00DA78AB">
      <w:pPr>
        <w:pStyle w:val="BodyText"/>
        <w:numPr>
          <w:ilvl w:val="0"/>
          <w:numId w:val="44"/>
        </w:numPr>
      </w:pPr>
      <w:r>
        <w:t>introduction or evolution of associated safety measures</w:t>
      </w:r>
    </w:p>
    <w:p w14:paraId="6FE777D8" w14:textId="77777777" w:rsidR="00884712" w:rsidRDefault="00884712" w:rsidP="00DA78AB">
      <w:pPr>
        <w:pStyle w:val="BodyText"/>
        <w:numPr>
          <w:ilvl w:val="0"/>
          <w:numId w:val="44"/>
        </w:numPr>
      </w:pPr>
      <w:r>
        <w:t>operational changes within the VTS</w:t>
      </w:r>
    </w:p>
    <w:p w14:paraId="1DED9DDF" w14:textId="77777777" w:rsidR="00884712" w:rsidRDefault="00884712" w:rsidP="00DA78AB">
      <w:pPr>
        <w:pStyle w:val="BodyText"/>
        <w:numPr>
          <w:ilvl w:val="0"/>
          <w:numId w:val="44"/>
        </w:numPr>
      </w:pPr>
      <w:r>
        <w:t>external influences</w:t>
      </w:r>
    </w:p>
    <w:p w14:paraId="3FCE25FD" w14:textId="77777777" w:rsidR="00884712" w:rsidRDefault="00884712" w:rsidP="00DA78AB">
      <w:pPr>
        <w:pStyle w:val="BodyText"/>
        <w:numPr>
          <w:ilvl w:val="0"/>
          <w:numId w:val="44"/>
        </w:numPr>
      </w:pPr>
      <w:r>
        <w:t>traffic volumes</w:t>
      </w:r>
    </w:p>
    <w:p w14:paraId="62943AAB" w14:textId="77777777" w:rsidR="00884712" w:rsidRDefault="00884712" w:rsidP="00884712">
      <w:pPr>
        <w:pStyle w:val="BodyText"/>
      </w:pPr>
      <w:r>
        <w:t>The dataset should be maintained in chronological order to support interpretation of trends and changes over time.</w:t>
      </w:r>
    </w:p>
    <w:p w14:paraId="6B9B9134" w14:textId="7D5F1F5C" w:rsidR="00884712" w:rsidRDefault="00884712" w:rsidP="00884712">
      <w:pPr>
        <w:pStyle w:val="Heading2"/>
      </w:pPr>
      <w:bookmarkStart w:id="42" w:name="_Toc235197785"/>
      <w:bookmarkStart w:id="43" w:name="_Toc238036130"/>
      <w:r>
        <w:lastRenderedPageBreak/>
        <w:t>Generating Graphical Outputs</w:t>
      </w:r>
      <w:bookmarkEnd w:id="42"/>
      <w:bookmarkEnd w:id="43"/>
    </w:p>
    <w:p w14:paraId="4A1E64FC" w14:textId="77777777" w:rsidR="00884712" w:rsidRDefault="00884712" w:rsidP="00884712">
      <w:pPr>
        <w:pStyle w:val="BodyText"/>
      </w:pPr>
      <w:r>
        <w:t>Graphical outputs provide a clear and accessible means of demonstrating VTS contribution. These may include:</w:t>
      </w:r>
    </w:p>
    <w:p w14:paraId="0B15035F" w14:textId="77777777" w:rsidR="00884712" w:rsidRDefault="00884712" w:rsidP="00DA78AB">
      <w:pPr>
        <w:pStyle w:val="BodyText"/>
        <w:numPr>
          <w:ilvl w:val="0"/>
          <w:numId w:val="45"/>
        </w:numPr>
      </w:pPr>
      <w:r>
        <w:t>incident trends (e.g., collisions, groundings, near misses)</w:t>
      </w:r>
    </w:p>
    <w:p w14:paraId="402F1599" w14:textId="77777777" w:rsidR="00884712" w:rsidRDefault="00884712" w:rsidP="00DA78AB">
      <w:pPr>
        <w:pStyle w:val="BodyText"/>
        <w:numPr>
          <w:ilvl w:val="0"/>
          <w:numId w:val="45"/>
        </w:numPr>
      </w:pPr>
      <w:r>
        <w:t>developing unsafe situations over time</w:t>
      </w:r>
    </w:p>
    <w:p w14:paraId="695C705C" w14:textId="77777777" w:rsidR="00884712" w:rsidRDefault="00884712" w:rsidP="00DA78AB">
      <w:pPr>
        <w:pStyle w:val="BodyText"/>
        <w:numPr>
          <w:ilvl w:val="0"/>
          <w:numId w:val="45"/>
        </w:numPr>
      </w:pPr>
      <w:r>
        <w:t>VTS interactions by type (advice, warning, instruction)</w:t>
      </w:r>
    </w:p>
    <w:p w14:paraId="1A4F7B33" w14:textId="77777777" w:rsidR="00884712" w:rsidRDefault="00884712" w:rsidP="00DA78AB">
      <w:pPr>
        <w:pStyle w:val="BodyText"/>
        <w:numPr>
          <w:ilvl w:val="0"/>
          <w:numId w:val="45"/>
        </w:numPr>
      </w:pPr>
      <w:r>
        <w:t>VTS</w:t>
      </w:r>
      <w:r>
        <w:rPr>
          <w:rFonts w:ascii="Cambria Math" w:hAnsi="Cambria Math" w:cs="Cambria Math"/>
        </w:rPr>
        <w:t>‑</w:t>
      </w:r>
      <w:r>
        <w:t>attributable interactions</w:t>
      </w:r>
    </w:p>
    <w:p w14:paraId="76361E14" w14:textId="77777777" w:rsidR="00884712" w:rsidRDefault="00884712" w:rsidP="00DA78AB">
      <w:pPr>
        <w:pStyle w:val="BodyText"/>
        <w:numPr>
          <w:ilvl w:val="0"/>
          <w:numId w:val="45"/>
        </w:numPr>
      </w:pPr>
      <w:r>
        <w:t>normalised trends based on traffic volume</w:t>
      </w:r>
    </w:p>
    <w:p w14:paraId="152CDB35" w14:textId="77777777" w:rsidR="00884712" w:rsidRDefault="00884712" w:rsidP="00DA78AB">
      <w:pPr>
        <w:pStyle w:val="BodyText"/>
        <w:numPr>
          <w:ilvl w:val="0"/>
          <w:numId w:val="45"/>
        </w:numPr>
      </w:pPr>
      <w:r>
        <w:t>introduction or evolution of associated safety measures</w:t>
      </w:r>
    </w:p>
    <w:p w14:paraId="74E23021" w14:textId="77777777" w:rsidR="00884712" w:rsidRDefault="00884712" w:rsidP="00884712">
      <w:pPr>
        <w:pStyle w:val="BodyText"/>
      </w:pPr>
      <w:r>
        <w:t>Graphs should be simple, clear and focused on illustrating relationships between VTS interactions, developing unsafe situations and broader safety measures.</w:t>
      </w:r>
    </w:p>
    <w:p w14:paraId="385AE132" w14:textId="0C2DBF03" w:rsidR="00D9285A" w:rsidRPr="00175F16" w:rsidRDefault="00D9285A" w:rsidP="00867E7E">
      <w:pPr>
        <w:pStyle w:val="Heading2"/>
      </w:pPr>
      <w:bookmarkStart w:id="44" w:name="_Toc238036131"/>
      <w:r>
        <w:t>Assessment and review</w:t>
      </w:r>
      <w:bookmarkEnd w:id="44"/>
    </w:p>
    <w:p w14:paraId="2DF15F19" w14:textId="77777777" w:rsidR="00884712" w:rsidRDefault="00884712" w:rsidP="00884712">
      <w:pPr>
        <w:pStyle w:val="BodyText"/>
      </w:pPr>
      <w:r>
        <w:t>Consideration should be given</w:t>
      </w:r>
    </w:p>
    <w:p w14:paraId="0DD77A23" w14:textId="161D6202" w:rsidR="00D9285A" w:rsidRPr="00175F16" w:rsidRDefault="00D9285A" w:rsidP="00FC1FD7">
      <w:pPr>
        <w:pStyle w:val="Heading2"/>
      </w:pPr>
      <w:bookmarkStart w:id="45" w:name="_Toc235197786"/>
      <w:bookmarkStart w:id="46" w:name="_Toc238036132"/>
      <w:r>
        <w:t>Interpreting the outputs</w:t>
      </w:r>
      <w:bookmarkEnd w:id="46"/>
    </w:p>
    <w:bookmarkEnd w:id="45"/>
    <w:p w14:paraId="0B153970" w14:textId="77777777" w:rsidR="00884712" w:rsidRDefault="00884712" w:rsidP="00884712">
      <w:pPr>
        <w:pStyle w:val="BodyText"/>
      </w:pPr>
      <w:r>
        <w:t>Interpretation should focus on:</w:t>
      </w:r>
    </w:p>
    <w:p w14:paraId="48494206" w14:textId="77777777" w:rsidR="00884712" w:rsidRDefault="00884712" w:rsidP="00DA78AB">
      <w:pPr>
        <w:pStyle w:val="BodyText"/>
        <w:numPr>
          <w:ilvl w:val="0"/>
          <w:numId w:val="46"/>
        </w:numPr>
      </w:pPr>
      <w:r>
        <w:t>identifying long</w:t>
      </w:r>
      <w:r>
        <w:rPr>
          <w:rFonts w:ascii="Cambria Math" w:hAnsi="Cambria Math" w:cs="Cambria Math"/>
        </w:rPr>
        <w:t>‑</w:t>
      </w:r>
      <w:r>
        <w:t>term trends</w:t>
      </w:r>
    </w:p>
    <w:p w14:paraId="3D76ACD5" w14:textId="77777777" w:rsidR="00884712" w:rsidRDefault="00884712" w:rsidP="00DA78AB">
      <w:pPr>
        <w:pStyle w:val="BodyText"/>
        <w:numPr>
          <w:ilvl w:val="0"/>
          <w:numId w:val="46"/>
        </w:numPr>
      </w:pPr>
      <w:r>
        <w:t>understanding how VTS interactions influence developing unsafe situations</w:t>
      </w:r>
    </w:p>
    <w:p w14:paraId="0CD13A41" w14:textId="77777777" w:rsidR="00884712" w:rsidRDefault="00884712" w:rsidP="00DA78AB">
      <w:pPr>
        <w:pStyle w:val="BodyText"/>
        <w:numPr>
          <w:ilvl w:val="0"/>
          <w:numId w:val="46"/>
        </w:numPr>
      </w:pPr>
      <w:r>
        <w:t>recognising the preventative effect of VTS interventions</w:t>
      </w:r>
    </w:p>
    <w:p w14:paraId="51B47F0B" w14:textId="77777777" w:rsidR="00884712" w:rsidRDefault="00884712" w:rsidP="00DA78AB">
      <w:pPr>
        <w:pStyle w:val="BodyText"/>
        <w:numPr>
          <w:ilvl w:val="0"/>
          <w:numId w:val="46"/>
        </w:numPr>
      </w:pPr>
      <w:r>
        <w:t>contextualising changes in risk with associated safety measures</w:t>
      </w:r>
    </w:p>
    <w:p w14:paraId="147AA204" w14:textId="77777777" w:rsidR="00884712" w:rsidRDefault="00884712" w:rsidP="00DA78AB">
      <w:pPr>
        <w:pStyle w:val="BodyText"/>
        <w:numPr>
          <w:ilvl w:val="0"/>
          <w:numId w:val="46"/>
        </w:numPr>
      </w:pPr>
      <w:r>
        <w:t>distinguishing between VTS</w:t>
      </w:r>
      <w:r>
        <w:rPr>
          <w:rFonts w:ascii="Cambria Math" w:hAnsi="Cambria Math" w:cs="Cambria Math"/>
        </w:rPr>
        <w:t>‑</w:t>
      </w:r>
      <w:r>
        <w:t>addressable and non</w:t>
      </w:r>
      <w:r>
        <w:rPr>
          <w:rFonts w:ascii="Cambria Math" w:hAnsi="Cambria Math" w:cs="Cambria Math"/>
        </w:rPr>
        <w:t>‑</w:t>
      </w:r>
      <w:r>
        <w:t>addressable situations</w:t>
      </w:r>
    </w:p>
    <w:p w14:paraId="3FA61ED6" w14:textId="77777777" w:rsidR="00884712" w:rsidRDefault="00884712" w:rsidP="00DA78AB">
      <w:pPr>
        <w:pStyle w:val="BodyText"/>
        <w:numPr>
          <w:ilvl w:val="0"/>
          <w:numId w:val="46"/>
        </w:numPr>
      </w:pPr>
      <w:r>
        <w:t>highlighting near</w:t>
      </w:r>
      <w:r>
        <w:rPr>
          <w:rFonts w:ascii="Cambria Math" w:hAnsi="Cambria Math" w:cs="Cambria Math"/>
        </w:rPr>
        <w:t>‑</w:t>
      </w:r>
      <w:r>
        <w:t>miss mitigation</w:t>
      </w:r>
    </w:p>
    <w:p w14:paraId="069BAE3F" w14:textId="77BDA2A3" w:rsidR="00D9285A" w:rsidRPr="00D54CFA" w:rsidRDefault="00884712" w:rsidP="00D54CFA">
      <w:pPr>
        <w:pStyle w:val="BodyText"/>
      </w:pPr>
      <w:r>
        <w:t>Interpretation should avoid attributing outcomes solely to VTS. Instead, it should demonstrate how VTS contributes within an integrated system of complementary measures.</w:t>
      </w:r>
      <w:bookmarkStart w:id="47" w:name="_Toc235197787"/>
    </w:p>
    <w:p w14:paraId="25E4278D" w14:textId="199F12A9" w:rsidR="00884712" w:rsidRDefault="00884712" w:rsidP="00884712">
      <w:pPr>
        <w:pStyle w:val="Heading2"/>
      </w:pPr>
      <w:bookmarkStart w:id="48" w:name="_Toc238036133"/>
      <w:r>
        <w:t>Reporting VTS Contribution</w:t>
      </w:r>
      <w:bookmarkEnd w:id="47"/>
      <w:bookmarkEnd w:id="48"/>
    </w:p>
    <w:p w14:paraId="3CCE185A" w14:textId="77777777" w:rsidR="00884712" w:rsidRDefault="00884712" w:rsidP="00884712">
      <w:pPr>
        <w:pStyle w:val="BodyText"/>
      </w:pPr>
      <w:r>
        <w:t>Reporting should be structured, transparent and consistent. Reports may include:</w:t>
      </w:r>
    </w:p>
    <w:p w14:paraId="4988FD27" w14:textId="77777777" w:rsidR="00884712" w:rsidRDefault="00884712" w:rsidP="00DA78AB">
      <w:pPr>
        <w:pStyle w:val="BodyText"/>
        <w:numPr>
          <w:ilvl w:val="0"/>
          <w:numId w:val="47"/>
        </w:numPr>
      </w:pPr>
      <w:r>
        <w:t>narrative explanation of trends</w:t>
      </w:r>
    </w:p>
    <w:p w14:paraId="27648D72" w14:textId="77777777" w:rsidR="00884712" w:rsidRDefault="00884712" w:rsidP="00DA78AB">
      <w:pPr>
        <w:pStyle w:val="BodyText"/>
        <w:numPr>
          <w:ilvl w:val="0"/>
          <w:numId w:val="47"/>
        </w:numPr>
      </w:pPr>
      <w:r>
        <w:t>graphical outputs</w:t>
      </w:r>
    </w:p>
    <w:p w14:paraId="579324CE" w14:textId="77777777" w:rsidR="00884712" w:rsidRDefault="00884712" w:rsidP="00DA78AB">
      <w:pPr>
        <w:pStyle w:val="BodyText"/>
        <w:numPr>
          <w:ilvl w:val="0"/>
          <w:numId w:val="47"/>
        </w:numPr>
      </w:pPr>
      <w:r>
        <w:t>normalised data</w:t>
      </w:r>
    </w:p>
    <w:p w14:paraId="42F7DD3C" w14:textId="77777777" w:rsidR="00884712" w:rsidRDefault="00884712" w:rsidP="00DA78AB">
      <w:pPr>
        <w:pStyle w:val="BodyText"/>
        <w:numPr>
          <w:ilvl w:val="0"/>
          <w:numId w:val="47"/>
        </w:numPr>
      </w:pPr>
      <w:r>
        <w:t>contextual information</w:t>
      </w:r>
    </w:p>
    <w:p w14:paraId="39EF1DF0" w14:textId="5B14A7E4" w:rsidR="00884712" w:rsidRDefault="00884712" w:rsidP="00DA78AB">
      <w:pPr>
        <w:pStyle w:val="BodyText"/>
        <w:numPr>
          <w:ilvl w:val="0"/>
          <w:numId w:val="47"/>
        </w:numPr>
      </w:pPr>
      <w:r>
        <w:t>examples of VTS</w:t>
      </w:r>
      <w:r w:rsidR="00C72BAD">
        <w:rPr>
          <w:rFonts w:ascii="Cambria Math" w:hAnsi="Cambria Math" w:cs="Cambria Math"/>
        </w:rPr>
        <w:t xml:space="preserve"> </w:t>
      </w:r>
      <w:r>
        <w:t>attributable interactions</w:t>
      </w:r>
    </w:p>
    <w:p w14:paraId="255C638B" w14:textId="77777777" w:rsidR="00884712" w:rsidRDefault="00884712" w:rsidP="00DA78AB">
      <w:pPr>
        <w:pStyle w:val="BodyText"/>
        <w:numPr>
          <w:ilvl w:val="0"/>
          <w:numId w:val="47"/>
        </w:numPr>
      </w:pPr>
      <w:r>
        <w:t>description of associated safety measures</w:t>
      </w:r>
    </w:p>
    <w:p w14:paraId="64639FCA" w14:textId="77777777" w:rsidR="00884712" w:rsidRDefault="00884712" w:rsidP="00DA78AB">
      <w:pPr>
        <w:pStyle w:val="BodyText"/>
        <w:numPr>
          <w:ilvl w:val="0"/>
          <w:numId w:val="47"/>
        </w:numPr>
      </w:pPr>
      <w:r>
        <w:t>explanation of external influences</w:t>
      </w:r>
    </w:p>
    <w:p w14:paraId="5CF5EF7C" w14:textId="77777777" w:rsidR="00884712" w:rsidRDefault="00884712" w:rsidP="00884712">
      <w:pPr>
        <w:pStyle w:val="BodyText"/>
      </w:pPr>
      <w:r>
        <w:t>The reporting template in Annex D provides a standardised format that can be adapted to local requirements.</w:t>
      </w:r>
    </w:p>
    <w:p w14:paraId="6F4AAA9A" w14:textId="21E1C0D5" w:rsidR="00D9285A" w:rsidRPr="00175F16" w:rsidRDefault="00D9285A" w:rsidP="002E46A0">
      <w:pPr>
        <w:pStyle w:val="Heading1"/>
      </w:pPr>
      <w:bookmarkStart w:id="49" w:name="_Toc235197789"/>
      <w:bookmarkStart w:id="50" w:name="_Toc238036134"/>
      <w:r w:rsidRPr="002E46A0">
        <w:lastRenderedPageBreak/>
        <w:t>Integration, assurance and continuous improvement</w:t>
      </w:r>
      <w:bookmarkEnd w:id="50"/>
    </w:p>
    <w:bookmarkEnd w:id="49"/>
    <w:p w14:paraId="488F4C85" w14:textId="77777777" w:rsidR="00E31421" w:rsidRDefault="00E31421">
      <w:pPr>
        <w:rPr>
          <w:kern w:val="2"/>
          <w:szCs w:val="18"/>
          <w:lang w:val="en-AU" w:eastAsia="en-AU"/>
          <w14:ligatures w14:val="standardContextual"/>
        </w:rPr>
      </w:pPr>
      <w:r>
        <w:rPr>
          <w:sz w:val="22"/>
        </w:rPr>
        <w:t>This section explains how VTS centres can use the methodology outputs, including structured datasets, graphical displays and reporting, to support assurance, regulatory reporting, performance review and continuous improvement. By maintaining a structured dataset and applying the methodology consistently, VTS centres can demonstrate their contribution clearly and reliably over time, while strengthening operational performance, stakeholder confidence and compliance with existing organisational processes.</w:t>
      </w:r>
    </w:p>
    <w:p w14:paraId="6A48FF16" w14:textId="77777777" w:rsidR="00E31421" w:rsidRDefault="00E31421">
      <w:pPr>
        <w:rPr>
          <w:kern w:val="2"/>
          <w:szCs w:val="18"/>
          <w:lang w:val="en-AU" w:eastAsia="en-AU"/>
          <w14:ligatures w14:val="standardContextual"/>
        </w:rPr>
      </w:pPr>
      <w:r>
        <w:rPr>
          <w:sz w:val="22"/>
        </w:rPr>
        <w:t>The methodology is not intended to replace existing reporting or investigation processes. Instead, it provides a structured, repeatable means of demonstrating VTS contribution within an integrated system of safety and environmental measures, including the identification of training needs and evaluation of decision-support tools.</w:t>
      </w:r>
    </w:p>
    <w:p w14:paraId="1DC7D6C1" w14:textId="5184FB68" w:rsidR="00884712" w:rsidRDefault="00884712" w:rsidP="00884712">
      <w:pPr>
        <w:pStyle w:val="Heading2"/>
      </w:pPr>
      <w:bookmarkStart w:id="51" w:name="_Toc235197790"/>
      <w:bookmarkStart w:id="52" w:name="_Toc238036135"/>
      <w:r w:rsidRPr="00AA5AAC">
        <w:t>Integration with the Wider Safety System</w:t>
      </w:r>
      <w:bookmarkEnd w:id="51"/>
      <w:bookmarkEnd w:id="52"/>
    </w:p>
    <w:p w14:paraId="16866D67" w14:textId="2E2498A9" w:rsidR="00884712" w:rsidRPr="005C57DA" w:rsidRDefault="00884712" w:rsidP="00884712">
      <w:pPr>
        <w:rPr>
          <w:sz w:val="22"/>
        </w:rPr>
      </w:pPr>
      <w:r w:rsidRPr="005C57DA">
        <w:rPr>
          <w:sz w:val="22"/>
        </w:rPr>
        <w:t>VTS contribution must be interpreted within the broader context of pilotage, rout</w:t>
      </w:r>
      <w:r w:rsidR="00D14505">
        <w:rPr>
          <w:sz w:val="22"/>
        </w:rPr>
        <w:t>e</w:t>
      </w:r>
      <w:r w:rsidRPr="005C57DA">
        <w:rPr>
          <w:sz w:val="22"/>
        </w:rPr>
        <w:t>ing measures, aids to navigation, environmental regulations and port procedures. The methodology supports this integrated perspective by:</w:t>
      </w:r>
    </w:p>
    <w:p w14:paraId="3E1FC03D" w14:textId="77777777" w:rsidR="00884712" w:rsidRPr="00AA5AAC" w:rsidRDefault="00884712" w:rsidP="00DA78AB">
      <w:pPr>
        <w:pStyle w:val="ListParagraph"/>
        <w:numPr>
          <w:ilvl w:val="0"/>
          <w:numId w:val="49"/>
        </w:numPr>
      </w:pPr>
      <w:r w:rsidRPr="00AA5AAC">
        <w:t>contextualising VTS interactions alongside other safety measures</w:t>
      </w:r>
    </w:p>
    <w:p w14:paraId="631ECA5C" w14:textId="77777777" w:rsidR="00884712" w:rsidRPr="00AA5AAC" w:rsidRDefault="00884712" w:rsidP="00DA78AB">
      <w:pPr>
        <w:pStyle w:val="ListParagraph"/>
        <w:numPr>
          <w:ilvl w:val="0"/>
          <w:numId w:val="49"/>
        </w:numPr>
      </w:pPr>
      <w:r w:rsidRPr="00AA5AAC">
        <w:t>recognising shared outcomes and complementary roles</w:t>
      </w:r>
    </w:p>
    <w:p w14:paraId="2F462256" w14:textId="77777777" w:rsidR="00884712" w:rsidRPr="00AA5AAC" w:rsidRDefault="00884712" w:rsidP="00DA78AB">
      <w:pPr>
        <w:pStyle w:val="ListParagraph"/>
        <w:numPr>
          <w:ilvl w:val="0"/>
          <w:numId w:val="49"/>
        </w:numPr>
      </w:pPr>
      <w:r w:rsidRPr="00AA5AAC">
        <w:t>avoiding over</w:t>
      </w:r>
      <w:r w:rsidRPr="00AA5AAC">
        <w:rPr>
          <w:rFonts w:ascii="Cambria Math" w:hAnsi="Cambria Math" w:cs="Cambria Math"/>
        </w:rPr>
        <w:t>‑</w:t>
      </w:r>
      <w:r w:rsidRPr="00AA5AAC">
        <w:t>attribution or misinterpretation</w:t>
      </w:r>
    </w:p>
    <w:p w14:paraId="309FFAD6" w14:textId="77777777" w:rsidR="00884712" w:rsidRPr="00AA5AAC" w:rsidRDefault="00884712" w:rsidP="00DA78AB">
      <w:pPr>
        <w:pStyle w:val="ListParagraph"/>
        <w:numPr>
          <w:ilvl w:val="0"/>
          <w:numId w:val="49"/>
        </w:numPr>
      </w:pPr>
      <w:r w:rsidRPr="00AA5AAC">
        <w:t>supporting balanced communication with authorities and stakeholders</w:t>
      </w:r>
    </w:p>
    <w:p w14:paraId="0466A310" w14:textId="77777777" w:rsidR="00884712" w:rsidRPr="005C57DA" w:rsidRDefault="00884712" w:rsidP="00884712">
      <w:pPr>
        <w:rPr>
          <w:sz w:val="22"/>
        </w:rPr>
      </w:pPr>
      <w:r w:rsidRPr="005C57DA">
        <w:rPr>
          <w:sz w:val="22"/>
        </w:rPr>
        <w:t>This integrated approach ensures that VTS contribution is understood as part of a system of systems, rather than as an isolated function.</w:t>
      </w:r>
    </w:p>
    <w:p w14:paraId="708A3C94" w14:textId="059787BC" w:rsidR="00884712" w:rsidRPr="005C57DA" w:rsidRDefault="00884712" w:rsidP="00884712">
      <w:pPr>
        <w:pStyle w:val="Heading2"/>
      </w:pPr>
      <w:bookmarkStart w:id="53" w:name="_Toc235197791"/>
      <w:bookmarkStart w:id="54" w:name="_Toc238036136"/>
      <w:r w:rsidRPr="005C57DA">
        <w:t>Assurance and Regulatory Reporting</w:t>
      </w:r>
      <w:bookmarkEnd w:id="53"/>
      <w:bookmarkEnd w:id="54"/>
    </w:p>
    <w:p w14:paraId="0242FA92" w14:textId="77777777" w:rsidR="00884712" w:rsidRPr="005C57DA" w:rsidRDefault="00884712" w:rsidP="00884712">
      <w:pPr>
        <w:rPr>
          <w:sz w:val="22"/>
        </w:rPr>
      </w:pPr>
      <w:r w:rsidRPr="005C57DA">
        <w:rPr>
          <w:sz w:val="22"/>
        </w:rPr>
        <w:t>The methodology supports assurance activities by providing:</w:t>
      </w:r>
    </w:p>
    <w:p w14:paraId="5E936FCE" w14:textId="77777777" w:rsidR="00884712" w:rsidRPr="00AA5AAC" w:rsidRDefault="00884712" w:rsidP="00DA78AB">
      <w:pPr>
        <w:pStyle w:val="ListParagraph"/>
        <w:numPr>
          <w:ilvl w:val="0"/>
          <w:numId w:val="50"/>
        </w:numPr>
      </w:pPr>
      <w:r w:rsidRPr="00AA5AAC">
        <w:t>structured datasets</w:t>
      </w:r>
    </w:p>
    <w:p w14:paraId="59351797" w14:textId="77777777" w:rsidR="00884712" w:rsidRPr="00AA5AAC" w:rsidRDefault="00884712" w:rsidP="00DA78AB">
      <w:pPr>
        <w:pStyle w:val="ListParagraph"/>
        <w:numPr>
          <w:ilvl w:val="0"/>
          <w:numId w:val="50"/>
        </w:numPr>
      </w:pPr>
      <w:r w:rsidRPr="00AA5AAC">
        <w:t>clear categorisation of interactions</w:t>
      </w:r>
    </w:p>
    <w:p w14:paraId="64D6DFF5" w14:textId="77777777" w:rsidR="00884712" w:rsidRPr="00AA5AAC" w:rsidRDefault="00884712" w:rsidP="00DA78AB">
      <w:pPr>
        <w:pStyle w:val="ListParagraph"/>
        <w:numPr>
          <w:ilvl w:val="0"/>
          <w:numId w:val="50"/>
        </w:numPr>
      </w:pPr>
      <w:r w:rsidRPr="00AA5AAC">
        <w:t>normalised trends</w:t>
      </w:r>
    </w:p>
    <w:p w14:paraId="225AAD9F" w14:textId="77777777" w:rsidR="00884712" w:rsidRPr="00AA5AAC" w:rsidRDefault="00884712" w:rsidP="00DA78AB">
      <w:pPr>
        <w:pStyle w:val="ListParagraph"/>
        <w:numPr>
          <w:ilvl w:val="0"/>
          <w:numId w:val="50"/>
        </w:numPr>
      </w:pPr>
      <w:r w:rsidRPr="00AA5AAC">
        <w:t>graphical outputs</w:t>
      </w:r>
    </w:p>
    <w:p w14:paraId="0BC36AA8" w14:textId="77777777" w:rsidR="00884712" w:rsidRPr="00AA5AAC" w:rsidRDefault="00884712" w:rsidP="00DA78AB">
      <w:pPr>
        <w:pStyle w:val="ListParagraph"/>
        <w:numPr>
          <w:ilvl w:val="0"/>
          <w:numId w:val="50"/>
        </w:numPr>
      </w:pPr>
      <w:r w:rsidRPr="00AA5AAC">
        <w:t>narrative interpretation</w:t>
      </w:r>
    </w:p>
    <w:p w14:paraId="62DF63DB" w14:textId="77777777" w:rsidR="00884712" w:rsidRPr="005C57DA" w:rsidRDefault="00884712" w:rsidP="00884712">
      <w:pPr>
        <w:rPr>
          <w:sz w:val="22"/>
        </w:rPr>
      </w:pPr>
      <w:r w:rsidRPr="005C57DA">
        <w:rPr>
          <w:sz w:val="22"/>
        </w:rPr>
        <w:t>These elements strengthen internal assurance processes and support external audits, regulatory reporting and compliance with IMO VTS Guidelines. The methodology also provides a consistent basis for demonstrating how VTS contributes to mitigating developing unsafe situations and supporting navigational safety.</w:t>
      </w:r>
    </w:p>
    <w:p w14:paraId="2F06A492" w14:textId="387A80AE" w:rsidR="00884712" w:rsidRPr="005C57DA" w:rsidRDefault="00884712" w:rsidP="00B6059E">
      <w:pPr>
        <w:pStyle w:val="Heading2"/>
      </w:pPr>
      <w:bookmarkStart w:id="55" w:name="_Toc235197792"/>
      <w:bookmarkStart w:id="56" w:name="_Toc238036137"/>
      <w:r w:rsidRPr="005C57DA">
        <w:t>Organisational Learning and Continuous Improvement</w:t>
      </w:r>
      <w:bookmarkEnd w:id="55"/>
      <w:bookmarkEnd w:id="56"/>
    </w:p>
    <w:p w14:paraId="2CE450FA" w14:textId="77777777" w:rsidR="00884712" w:rsidRPr="005C57DA" w:rsidRDefault="00884712" w:rsidP="00884712">
      <w:pPr>
        <w:rPr>
          <w:sz w:val="22"/>
        </w:rPr>
      </w:pPr>
      <w:r w:rsidRPr="005C57DA">
        <w:rPr>
          <w:sz w:val="22"/>
        </w:rPr>
        <w:t>The methodology supports continuous improvement by enabling VTS centres to:</w:t>
      </w:r>
    </w:p>
    <w:p w14:paraId="4E035BCA" w14:textId="77777777" w:rsidR="00884712" w:rsidRPr="00AA5AAC" w:rsidRDefault="00884712" w:rsidP="00DA78AB">
      <w:pPr>
        <w:pStyle w:val="ListParagraph"/>
        <w:numPr>
          <w:ilvl w:val="0"/>
          <w:numId w:val="51"/>
        </w:numPr>
      </w:pPr>
      <w:r w:rsidRPr="00AA5AAC">
        <w:t>identify recurring developing unsafe situations</w:t>
      </w:r>
    </w:p>
    <w:p w14:paraId="71E52D78" w14:textId="77777777" w:rsidR="00884712" w:rsidRPr="00AA5AAC" w:rsidRDefault="00884712" w:rsidP="00DA78AB">
      <w:pPr>
        <w:pStyle w:val="ListParagraph"/>
        <w:numPr>
          <w:ilvl w:val="0"/>
          <w:numId w:val="51"/>
        </w:numPr>
      </w:pPr>
      <w:r w:rsidRPr="00AA5AAC">
        <w:t>evaluate the effectiveness of interactions</w:t>
      </w:r>
    </w:p>
    <w:p w14:paraId="000E53AD" w14:textId="77777777" w:rsidR="00884712" w:rsidRPr="00AA5AAC" w:rsidRDefault="00884712" w:rsidP="00DA78AB">
      <w:pPr>
        <w:pStyle w:val="ListParagraph"/>
        <w:numPr>
          <w:ilvl w:val="0"/>
          <w:numId w:val="51"/>
        </w:numPr>
      </w:pPr>
      <w:r w:rsidRPr="00AA5AAC">
        <w:t>assess operator performance</w:t>
      </w:r>
    </w:p>
    <w:p w14:paraId="40ACC9B9" w14:textId="77777777" w:rsidR="00884712" w:rsidRPr="00AA5AAC" w:rsidRDefault="00884712" w:rsidP="00DA78AB">
      <w:pPr>
        <w:pStyle w:val="ListParagraph"/>
        <w:numPr>
          <w:ilvl w:val="0"/>
          <w:numId w:val="51"/>
        </w:numPr>
      </w:pPr>
      <w:r w:rsidRPr="00AA5AAC">
        <w:t>identify training needs</w:t>
      </w:r>
    </w:p>
    <w:p w14:paraId="3FC388B0" w14:textId="77777777" w:rsidR="00884712" w:rsidRPr="00AA5AAC" w:rsidRDefault="00884712" w:rsidP="00DA78AB">
      <w:pPr>
        <w:pStyle w:val="ListParagraph"/>
        <w:numPr>
          <w:ilvl w:val="0"/>
          <w:numId w:val="51"/>
        </w:numPr>
      </w:pPr>
      <w:r w:rsidRPr="00AA5AAC">
        <w:t>evaluate decision</w:t>
      </w:r>
      <w:r w:rsidRPr="00AA5AAC">
        <w:rPr>
          <w:rFonts w:ascii="Cambria Math" w:hAnsi="Cambria Math" w:cs="Cambria Math"/>
        </w:rPr>
        <w:t>‑</w:t>
      </w:r>
      <w:r w:rsidRPr="00AA5AAC">
        <w:t>support tools</w:t>
      </w:r>
    </w:p>
    <w:p w14:paraId="4B5F9E2E" w14:textId="77777777" w:rsidR="00884712" w:rsidRPr="00AA5AAC" w:rsidRDefault="00884712" w:rsidP="00DA78AB">
      <w:pPr>
        <w:pStyle w:val="ListParagraph"/>
        <w:numPr>
          <w:ilvl w:val="0"/>
          <w:numId w:val="51"/>
        </w:numPr>
      </w:pPr>
      <w:r w:rsidRPr="00AA5AAC">
        <w:t>refine procedures and communication protocols</w:t>
      </w:r>
    </w:p>
    <w:p w14:paraId="2E44272D" w14:textId="77777777" w:rsidR="00884712" w:rsidRPr="00AA5AAC" w:rsidRDefault="00884712" w:rsidP="00DA78AB">
      <w:pPr>
        <w:pStyle w:val="ListParagraph"/>
        <w:numPr>
          <w:ilvl w:val="0"/>
          <w:numId w:val="51"/>
        </w:numPr>
      </w:pPr>
      <w:r w:rsidRPr="00AA5AAC">
        <w:lastRenderedPageBreak/>
        <w:t>understand how changes in associated safety measures influence outcomes</w:t>
      </w:r>
    </w:p>
    <w:p w14:paraId="079FA25F" w14:textId="77777777" w:rsidR="00884712" w:rsidRPr="005C57DA" w:rsidRDefault="00884712" w:rsidP="00884712">
      <w:pPr>
        <w:rPr>
          <w:sz w:val="22"/>
        </w:rPr>
      </w:pPr>
      <w:r w:rsidRPr="005C57DA">
        <w:rPr>
          <w:sz w:val="22"/>
        </w:rPr>
        <w:t>Long</w:t>
      </w:r>
      <w:r w:rsidRPr="005C57DA">
        <w:rPr>
          <w:rFonts w:ascii="Cambria Math" w:hAnsi="Cambria Math" w:cs="Cambria Math"/>
          <w:sz w:val="22"/>
        </w:rPr>
        <w:t>‑</w:t>
      </w:r>
      <w:r w:rsidRPr="005C57DA">
        <w:rPr>
          <w:sz w:val="22"/>
        </w:rPr>
        <w:t>term trend analysis supports evidence</w:t>
      </w:r>
      <w:r w:rsidRPr="005C57DA">
        <w:rPr>
          <w:rFonts w:ascii="Cambria Math" w:hAnsi="Cambria Math" w:cs="Cambria Math"/>
          <w:sz w:val="22"/>
        </w:rPr>
        <w:t>‑</w:t>
      </w:r>
      <w:r w:rsidRPr="005C57DA">
        <w:rPr>
          <w:sz w:val="22"/>
        </w:rPr>
        <w:t>based decision</w:t>
      </w:r>
      <w:r w:rsidRPr="005C57DA">
        <w:rPr>
          <w:rFonts w:ascii="Cambria Math" w:hAnsi="Cambria Math" w:cs="Cambria Math"/>
          <w:sz w:val="22"/>
        </w:rPr>
        <w:t>‑</w:t>
      </w:r>
      <w:r w:rsidRPr="005C57DA">
        <w:rPr>
          <w:sz w:val="22"/>
        </w:rPr>
        <w:t>making and helps VTS centres adapt to evolving operational environments.</w:t>
      </w:r>
    </w:p>
    <w:p w14:paraId="1224D2C2" w14:textId="684E920E" w:rsidR="00884712" w:rsidRPr="005C57DA" w:rsidRDefault="00884712" w:rsidP="00884712">
      <w:pPr>
        <w:pStyle w:val="Heading2"/>
      </w:pPr>
      <w:bookmarkStart w:id="57" w:name="_Toc235197793"/>
      <w:bookmarkStart w:id="58" w:name="_Toc238036138"/>
      <w:r w:rsidRPr="005C57DA">
        <w:t>Communication with Stakeholders</w:t>
      </w:r>
      <w:bookmarkEnd w:id="57"/>
      <w:bookmarkEnd w:id="58"/>
    </w:p>
    <w:p w14:paraId="29B61174" w14:textId="77777777" w:rsidR="00884712" w:rsidRPr="005C57DA" w:rsidRDefault="00884712" w:rsidP="00884712">
      <w:pPr>
        <w:rPr>
          <w:sz w:val="22"/>
        </w:rPr>
      </w:pPr>
      <w:r w:rsidRPr="005C57DA">
        <w:rPr>
          <w:sz w:val="22"/>
        </w:rPr>
        <w:t>Clear reporting formats and graphical outputs improve communication with:</w:t>
      </w:r>
    </w:p>
    <w:p w14:paraId="48C852BA" w14:textId="77777777" w:rsidR="00884712" w:rsidRPr="00AA5AAC" w:rsidRDefault="00884712" w:rsidP="00DA78AB">
      <w:pPr>
        <w:pStyle w:val="ListParagraph"/>
        <w:numPr>
          <w:ilvl w:val="0"/>
          <w:numId w:val="52"/>
        </w:numPr>
      </w:pPr>
      <w:r w:rsidRPr="00AA5AAC">
        <w:t>port authorities</w:t>
      </w:r>
    </w:p>
    <w:p w14:paraId="481A7D44" w14:textId="77777777" w:rsidR="00884712" w:rsidRPr="00AA5AAC" w:rsidRDefault="00884712" w:rsidP="00DA78AB">
      <w:pPr>
        <w:pStyle w:val="ListParagraph"/>
        <w:numPr>
          <w:ilvl w:val="0"/>
          <w:numId w:val="52"/>
        </w:numPr>
      </w:pPr>
      <w:r w:rsidRPr="00AA5AAC">
        <w:t>maritime administrations</w:t>
      </w:r>
    </w:p>
    <w:p w14:paraId="3B446F6C" w14:textId="77777777" w:rsidR="00884712" w:rsidRPr="00AA5AAC" w:rsidRDefault="00884712" w:rsidP="00DA78AB">
      <w:pPr>
        <w:pStyle w:val="ListParagraph"/>
        <w:numPr>
          <w:ilvl w:val="0"/>
          <w:numId w:val="52"/>
        </w:numPr>
      </w:pPr>
      <w:r w:rsidRPr="00AA5AAC">
        <w:t>pilots</w:t>
      </w:r>
    </w:p>
    <w:p w14:paraId="4B735448" w14:textId="77777777" w:rsidR="00884712" w:rsidRPr="00AA5AAC" w:rsidRDefault="00884712" w:rsidP="00DA78AB">
      <w:pPr>
        <w:pStyle w:val="ListParagraph"/>
        <w:numPr>
          <w:ilvl w:val="0"/>
          <w:numId w:val="52"/>
        </w:numPr>
      </w:pPr>
      <w:r w:rsidRPr="00AA5AAC">
        <w:t>terminal operators</w:t>
      </w:r>
    </w:p>
    <w:p w14:paraId="22752407" w14:textId="77777777" w:rsidR="00884712" w:rsidRPr="00AA5AAC" w:rsidRDefault="00884712" w:rsidP="00DA78AB">
      <w:pPr>
        <w:pStyle w:val="ListParagraph"/>
        <w:numPr>
          <w:ilvl w:val="0"/>
          <w:numId w:val="52"/>
        </w:numPr>
      </w:pPr>
      <w:r w:rsidRPr="00AA5AAC">
        <w:t>emergency services</w:t>
      </w:r>
    </w:p>
    <w:p w14:paraId="02F3DA2B" w14:textId="77777777" w:rsidR="00884712" w:rsidRPr="00AA5AAC" w:rsidRDefault="00884712" w:rsidP="00DA78AB">
      <w:pPr>
        <w:pStyle w:val="ListParagraph"/>
        <w:numPr>
          <w:ilvl w:val="0"/>
          <w:numId w:val="52"/>
        </w:numPr>
      </w:pPr>
      <w:r w:rsidRPr="00AA5AAC">
        <w:t>environmental agencies</w:t>
      </w:r>
    </w:p>
    <w:p w14:paraId="60054AE2" w14:textId="77777777" w:rsidR="00884712" w:rsidRPr="005C57DA" w:rsidRDefault="00884712" w:rsidP="00884712">
      <w:pPr>
        <w:rPr>
          <w:sz w:val="22"/>
        </w:rPr>
      </w:pPr>
      <w:r w:rsidRPr="005C57DA">
        <w:rPr>
          <w:sz w:val="22"/>
        </w:rPr>
        <w:t>Structured reporting supports transparent communication and strengthens stakeholder confidence in VTS operations.</w:t>
      </w:r>
    </w:p>
    <w:p w14:paraId="4616A0D6" w14:textId="59BFD345" w:rsidR="00884712" w:rsidRPr="005C57DA" w:rsidRDefault="00884712" w:rsidP="00884712">
      <w:pPr>
        <w:pStyle w:val="Heading2"/>
      </w:pPr>
      <w:bookmarkStart w:id="59" w:name="_Toc235197794"/>
      <w:bookmarkStart w:id="60" w:name="_Toc238036139"/>
      <w:r w:rsidRPr="005C57DA">
        <w:t>Embedding the Methodology into Routine Practice</w:t>
      </w:r>
      <w:bookmarkEnd w:id="59"/>
      <w:bookmarkEnd w:id="60"/>
    </w:p>
    <w:p w14:paraId="6D250F53" w14:textId="77777777" w:rsidR="00884712" w:rsidRPr="005C57DA" w:rsidRDefault="00884712" w:rsidP="00884712">
      <w:pPr>
        <w:rPr>
          <w:sz w:val="22"/>
        </w:rPr>
      </w:pPr>
      <w:r w:rsidRPr="005C57DA">
        <w:rPr>
          <w:sz w:val="22"/>
        </w:rPr>
        <w:t>To achieve maximum benefit, VTS centres should:</w:t>
      </w:r>
    </w:p>
    <w:p w14:paraId="41C9DE56" w14:textId="77777777" w:rsidR="00884712" w:rsidRPr="00AA5AAC" w:rsidRDefault="00884712" w:rsidP="00DA78AB">
      <w:pPr>
        <w:pStyle w:val="ListParagraph"/>
        <w:numPr>
          <w:ilvl w:val="0"/>
          <w:numId w:val="53"/>
        </w:numPr>
      </w:pPr>
      <w:r w:rsidRPr="00AA5AAC">
        <w:t>maintain the dataset continuously</w:t>
      </w:r>
    </w:p>
    <w:p w14:paraId="78635464" w14:textId="77777777" w:rsidR="00884712" w:rsidRPr="00AA5AAC" w:rsidRDefault="00884712" w:rsidP="00DA78AB">
      <w:pPr>
        <w:pStyle w:val="ListParagraph"/>
        <w:numPr>
          <w:ilvl w:val="0"/>
          <w:numId w:val="53"/>
        </w:numPr>
      </w:pPr>
      <w:r w:rsidRPr="00AA5AAC">
        <w:t>apply categorisation consistently</w:t>
      </w:r>
    </w:p>
    <w:p w14:paraId="15A987A7" w14:textId="77777777" w:rsidR="00884712" w:rsidRPr="00AA5AAC" w:rsidRDefault="00884712" w:rsidP="00DA78AB">
      <w:pPr>
        <w:pStyle w:val="ListParagraph"/>
        <w:numPr>
          <w:ilvl w:val="0"/>
          <w:numId w:val="53"/>
        </w:numPr>
      </w:pPr>
      <w:r w:rsidRPr="00AA5AAC">
        <w:t>update records when safety measures evolve</w:t>
      </w:r>
    </w:p>
    <w:p w14:paraId="23C5C6F2" w14:textId="77777777" w:rsidR="00884712" w:rsidRPr="00AA5AAC" w:rsidRDefault="00884712" w:rsidP="00DA78AB">
      <w:pPr>
        <w:pStyle w:val="ListParagraph"/>
        <w:numPr>
          <w:ilvl w:val="0"/>
          <w:numId w:val="53"/>
        </w:numPr>
      </w:pPr>
      <w:r w:rsidRPr="00AA5AAC">
        <w:t>use graphical outputs in internal reviews</w:t>
      </w:r>
    </w:p>
    <w:p w14:paraId="756DEB02" w14:textId="77777777" w:rsidR="00884712" w:rsidRPr="00AA5AAC" w:rsidRDefault="00884712" w:rsidP="00DA78AB">
      <w:pPr>
        <w:pStyle w:val="ListParagraph"/>
        <w:numPr>
          <w:ilvl w:val="0"/>
          <w:numId w:val="53"/>
        </w:numPr>
      </w:pPr>
      <w:r w:rsidRPr="00AA5AAC">
        <w:t>incorporate findings into training and procedures</w:t>
      </w:r>
    </w:p>
    <w:p w14:paraId="14DD954E" w14:textId="77777777" w:rsidR="00884712" w:rsidRPr="00AA5AAC" w:rsidRDefault="00884712" w:rsidP="00DA78AB">
      <w:pPr>
        <w:pStyle w:val="ListParagraph"/>
        <w:numPr>
          <w:ilvl w:val="0"/>
          <w:numId w:val="53"/>
        </w:numPr>
      </w:pPr>
      <w:r w:rsidRPr="00AA5AAC">
        <w:t>use reporting templates for periodic communication</w:t>
      </w:r>
    </w:p>
    <w:p w14:paraId="13B58244" w14:textId="77777777" w:rsidR="00884712" w:rsidRDefault="00884712" w:rsidP="00884712">
      <w:pPr>
        <w:rPr>
          <w:sz w:val="22"/>
        </w:rPr>
      </w:pPr>
      <w:r w:rsidRPr="005C57DA">
        <w:rPr>
          <w:sz w:val="22"/>
        </w:rPr>
        <w:t>Embedding the methodology ensures that VTS contribution is demonstrated consistently and supports long</w:t>
      </w:r>
      <w:r w:rsidRPr="005C57DA">
        <w:rPr>
          <w:rFonts w:ascii="Cambria Math" w:hAnsi="Cambria Math" w:cs="Cambria Math"/>
          <w:sz w:val="22"/>
        </w:rPr>
        <w:t>‑</w:t>
      </w:r>
      <w:r w:rsidRPr="005C57DA">
        <w:rPr>
          <w:sz w:val="22"/>
        </w:rPr>
        <w:t>term organisational improvement.</w:t>
      </w:r>
    </w:p>
    <w:p w14:paraId="543D53E7" w14:textId="77777777" w:rsidR="00884712" w:rsidRPr="006076E5" w:rsidRDefault="00884712" w:rsidP="00884712">
      <w:pPr>
        <w:rPr>
          <w:sz w:val="22"/>
        </w:rPr>
      </w:pPr>
    </w:p>
    <w:p w14:paraId="4FC8ACC5" w14:textId="5E132A85" w:rsidR="00884712" w:rsidRPr="00231AA7" w:rsidRDefault="00884712" w:rsidP="00884712">
      <w:pPr>
        <w:pStyle w:val="Heading1"/>
      </w:pPr>
      <w:bookmarkStart w:id="61" w:name="_Toc235197795"/>
      <w:bookmarkStart w:id="62" w:name="_Toc238036140"/>
      <w:r>
        <w:t>Definitions</w:t>
      </w:r>
      <w:bookmarkEnd w:id="61"/>
      <w:bookmarkEnd w:id="62"/>
    </w:p>
    <w:p w14:paraId="6098D1F6" w14:textId="77777777" w:rsidR="00884712" w:rsidRDefault="00884712" w:rsidP="00884712">
      <w:pPr>
        <w:pStyle w:val="Heading1separationline"/>
      </w:pPr>
    </w:p>
    <w:p w14:paraId="61BBC6BF" w14:textId="77777777" w:rsidR="00884712" w:rsidRPr="00231AA7" w:rsidRDefault="00884712" w:rsidP="00884712">
      <w:pPr>
        <w:pStyle w:val="BodyText"/>
      </w:pPr>
      <w:r>
        <w:t>(Section to be included, if required)</w:t>
      </w:r>
    </w:p>
    <w:p w14:paraId="7BC47B4E" w14:textId="77777777" w:rsidR="00884712" w:rsidRDefault="00884712" w:rsidP="00884712">
      <w:pPr>
        <w:rPr>
          <w:rFonts w:asciiTheme="majorHAnsi" w:eastAsiaTheme="majorEastAsia" w:hAnsiTheme="majorHAnsi" w:cstheme="majorBidi"/>
          <w:b/>
          <w:bCs/>
          <w:caps/>
          <w:color w:val="00558C"/>
          <w:sz w:val="28"/>
          <w:szCs w:val="24"/>
        </w:rPr>
      </w:pPr>
      <w:bookmarkStart w:id="63" w:name="_Toc235197796"/>
      <w:r>
        <w:br w:type="page"/>
      </w:r>
    </w:p>
    <w:p w14:paraId="2347C6EA" w14:textId="0C7E4C08" w:rsidR="00D9285A" w:rsidRDefault="00D9285A" w:rsidP="00175F16">
      <w:pPr>
        <w:pStyle w:val="Heading2"/>
        <w:rPr>
          <w:kern w:val="36"/>
          <w:szCs w:val="28"/>
          <w:lang w:val="en-AU" w:eastAsia="en-AU"/>
          <w14:ligatures w14:val="standardContextual"/>
        </w:rPr>
      </w:pPr>
      <w:bookmarkStart w:id="64" w:name="_Toc238036141"/>
      <w:r>
        <w:lastRenderedPageBreak/>
        <w:t>References</w:t>
      </w:r>
      <w:bookmarkEnd w:id="64"/>
    </w:p>
    <w:bookmarkEnd w:id="63"/>
    <w:p w14:paraId="1B3C4643" w14:textId="77777777" w:rsidR="00884712" w:rsidRPr="00231AA7" w:rsidRDefault="00884712" w:rsidP="00884712">
      <w:pPr>
        <w:pStyle w:val="Heading1separationline"/>
      </w:pPr>
    </w:p>
    <w:p w14:paraId="726045D0" w14:textId="77777777" w:rsidR="00884712" w:rsidRDefault="00884712" w:rsidP="00884712">
      <w:pPr>
        <w:pStyle w:val="BodyText"/>
      </w:pPr>
      <w:r w:rsidRPr="0055794B">
        <w:rPr>
          <w:highlight w:val="yellow"/>
        </w:rPr>
        <w:t>(Section needs reordering</w:t>
      </w:r>
      <w:r>
        <w:t>)</w:t>
      </w:r>
    </w:p>
    <w:p w14:paraId="726335B8" w14:textId="77777777" w:rsidR="00884712" w:rsidRDefault="00884712" w:rsidP="00884712">
      <w:pPr>
        <w:pStyle w:val="BodyText"/>
        <w:spacing w:before="120"/>
        <w:rPr>
          <w:lang w:val="en-AU"/>
        </w:rPr>
      </w:pPr>
      <w:r w:rsidRPr="00BC4DD1">
        <w:rPr>
          <w:lang w:val="en-AU"/>
        </w:rPr>
        <w:t xml:space="preserve">[1] LehnSchiøler, T., Hansen, M.G., Melchild, K., Jensen, T.K., Thomsen, S.R., Glibbery, K.A.K., &amp; Rasmussen, F.M. </w:t>
      </w:r>
      <w:r w:rsidRPr="00BC4DD1">
        <w:rPr>
          <w:i/>
          <w:iCs/>
          <w:lang w:val="en-AU"/>
        </w:rPr>
        <w:t>Collision and Grounding of Ships and Offshore Structures</w:t>
      </w:r>
      <w:r w:rsidRPr="00BC4DD1">
        <w:rPr>
          <w:lang w:val="en-AU"/>
        </w:rPr>
        <w:t>. Taylor &amp; Francis Group, 2013.</w:t>
      </w:r>
    </w:p>
    <w:p w14:paraId="6310C91B" w14:textId="77777777" w:rsidR="00884712" w:rsidRDefault="00884712" w:rsidP="00884712">
      <w:pPr>
        <w:pStyle w:val="BodyText"/>
        <w:spacing w:before="120"/>
        <w:rPr>
          <w:lang w:val="en-AU"/>
        </w:rPr>
      </w:pPr>
      <w:r w:rsidRPr="00BC4DD1">
        <w:rPr>
          <w:lang w:val="en-AU"/>
        </w:rPr>
        <w:t xml:space="preserve"> [2] IALA e</w:t>
      </w:r>
      <w:r w:rsidRPr="00BC4DD1">
        <w:rPr>
          <w:lang w:val="en-AU"/>
        </w:rPr>
        <w:noBreakHyphen/>
        <w:t xml:space="preserve">Bulletin. </w:t>
      </w:r>
      <w:r w:rsidRPr="00BC4DD1">
        <w:rPr>
          <w:i/>
          <w:iCs/>
          <w:lang w:val="en-AU"/>
        </w:rPr>
        <w:t>Reef VTS – 21 Years of Safer Navigation through Interaction with Vessel Traffic</w:t>
      </w:r>
      <w:r w:rsidRPr="00BC4DD1">
        <w:rPr>
          <w:lang w:val="en-AU"/>
        </w:rPr>
        <w:t xml:space="preserve">. 18 December 2025. </w:t>
      </w:r>
    </w:p>
    <w:p w14:paraId="15FFF4FE" w14:textId="77777777" w:rsidR="00884712" w:rsidRDefault="00884712" w:rsidP="00884712">
      <w:pPr>
        <w:pStyle w:val="BodyText"/>
        <w:spacing w:before="120"/>
        <w:rPr>
          <w:lang w:val="en-AU"/>
        </w:rPr>
      </w:pPr>
      <w:r w:rsidRPr="00BC4DD1">
        <w:rPr>
          <w:lang w:val="en-AU"/>
        </w:rPr>
        <w:t>[3] Park, J</w:t>
      </w:r>
      <w:r w:rsidRPr="00BC4DD1">
        <w:rPr>
          <w:lang w:val="en-AU"/>
        </w:rPr>
        <w:noBreakHyphen/>
        <w:t xml:space="preserve">S., &amp; Redfern, A. </w:t>
      </w:r>
      <w:r w:rsidRPr="00BC4DD1">
        <w:rPr>
          <w:i/>
          <w:iCs/>
          <w:lang w:val="en-AU"/>
        </w:rPr>
        <w:t>Quantification of VTS Effectiveness</w:t>
      </w:r>
      <w:r w:rsidRPr="00BC4DD1">
        <w:rPr>
          <w:lang w:val="en-AU"/>
        </w:rPr>
        <w:t xml:space="preserve">. Transactions on the Built Environment, Vol. 11, 1995. </w:t>
      </w:r>
    </w:p>
    <w:p w14:paraId="17666222" w14:textId="77777777" w:rsidR="00884712" w:rsidRDefault="00884712" w:rsidP="00884712">
      <w:pPr>
        <w:pStyle w:val="BodyText"/>
        <w:spacing w:before="120"/>
        <w:rPr>
          <w:lang w:val="en-AU"/>
        </w:rPr>
      </w:pPr>
      <w:r w:rsidRPr="00BC4DD1">
        <w:rPr>
          <w:lang w:val="en-AU"/>
        </w:rPr>
        <w:t xml:space="preserve">[4] Asyall, E. </w:t>
      </w:r>
      <w:r w:rsidRPr="00BC4DD1">
        <w:rPr>
          <w:i/>
          <w:iCs/>
          <w:lang w:val="en-AU"/>
        </w:rPr>
        <w:t>A Ship</w:t>
      </w:r>
      <w:r w:rsidRPr="00BC4DD1">
        <w:rPr>
          <w:i/>
          <w:iCs/>
          <w:lang w:val="en-AU"/>
        </w:rPr>
        <w:noBreakHyphen/>
        <w:t>Based Approach to Determine the Effectiveness of VTS Systems in Reducing Vessel Accidents in Congested Waters</w:t>
      </w:r>
      <w:r w:rsidRPr="00BC4DD1">
        <w:rPr>
          <w:lang w:val="en-AU"/>
        </w:rPr>
        <w:t xml:space="preserve">. 3rd Annual General Assembly, International Association of Maritime Universities (IAMU), 2002. </w:t>
      </w:r>
    </w:p>
    <w:p w14:paraId="4DCF6C1F" w14:textId="77777777" w:rsidR="00884712" w:rsidRDefault="00884712" w:rsidP="00884712">
      <w:pPr>
        <w:pStyle w:val="BodyText"/>
        <w:spacing w:before="120"/>
        <w:rPr>
          <w:lang w:val="en-AU"/>
        </w:rPr>
      </w:pPr>
      <w:r w:rsidRPr="00BC4DD1">
        <w:rPr>
          <w:lang w:val="en-AU"/>
        </w:rPr>
        <w:t xml:space="preserve">[5] COST 301 Project. European Community (EU), early 1980s. </w:t>
      </w:r>
    </w:p>
    <w:p w14:paraId="2973BCD3" w14:textId="77777777" w:rsidR="00884712" w:rsidRDefault="00884712" w:rsidP="00884712">
      <w:pPr>
        <w:pStyle w:val="BodyText"/>
        <w:spacing w:before="120"/>
        <w:rPr>
          <w:lang w:val="en-AU"/>
        </w:rPr>
      </w:pPr>
      <w:r w:rsidRPr="00BC4DD1">
        <w:rPr>
          <w:lang w:val="en-AU"/>
        </w:rPr>
        <w:t xml:space="preserve">[6] Canadian Coast Guard. </w:t>
      </w:r>
      <w:r w:rsidRPr="00BC4DD1">
        <w:rPr>
          <w:i/>
          <w:iCs/>
          <w:lang w:val="en-AU"/>
        </w:rPr>
        <w:t>National Vessel Traffic Service Study</w:t>
      </w:r>
      <w:r w:rsidRPr="00BC4DD1">
        <w:rPr>
          <w:lang w:val="en-AU"/>
        </w:rPr>
        <w:t xml:space="preserve">. 1984. </w:t>
      </w:r>
    </w:p>
    <w:p w14:paraId="581FC324" w14:textId="77777777" w:rsidR="00884712" w:rsidRDefault="00884712" w:rsidP="00884712">
      <w:pPr>
        <w:pStyle w:val="BodyText"/>
        <w:spacing w:before="120"/>
        <w:rPr>
          <w:lang w:val="en-AU"/>
        </w:rPr>
      </w:pPr>
      <w:r w:rsidRPr="00BC4DD1">
        <w:rPr>
          <w:lang w:val="en-AU"/>
        </w:rPr>
        <w:t xml:space="preserve">[7] USCG. </w:t>
      </w:r>
      <w:r w:rsidRPr="00BC4DD1">
        <w:rPr>
          <w:i/>
          <w:iCs/>
          <w:lang w:val="en-AU"/>
        </w:rPr>
        <w:t>Vessel Traffic Systems: Analysis of Port Needs</w:t>
      </w:r>
      <w:r w:rsidRPr="00BC4DD1">
        <w:rPr>
          <w:lang w:val="en-AU"/>
        </w:rPr>
        <w:t xml:space="preserve">. 1973. </w:t>
      </w:r>
    </w:p>
    <w:p w14:paraId="558E29C6" w14:textId="77777777" w:rsidR="00884712" w:rsidRDefault="00884712" w:rsidP="00884712">
      <w:pPr>
        <w:pStyle w:val="BodyText"/>
        <w:spacing w:before="120"/>
        <w:rPr>
          <w:lang w:val="en-AU"/>
        </w:rPr>
      </w:pPr>
      <w:r w:rsidRPr="00BC4DD1">
        <w:rPr>
          <w:lang w:val="en-AU"/>
        </w:rPr>
        <w:t xml:space="preserve">[8] Dover Strait Research. </w:t>
      </w:r>
      <w:r w:rsidRPr="00BC4DD1">
        <w:rPr>
          <w:i/>
          <w:iCs/>
          <w:lang w:val="en-AU"/>
        </w:rPr>
        <w:t>Channel Navigation Information Service (CNIS) Safety Assessment</w:t>
      </w:r>
      <w:r w:rsidRPr="00BC4DD1">
        <w:rPr>
          <w:lang w:val="en-AU"/>
        </w:rPr>
        <w:t xml:space="preserve">. 1978. </w:t>
      </w:r>
    </w:p>
    <w:p w14:paraId="49E567C5" w14:textId="77777777" w:rsidR="00884712" w:rsidRDefault="00884712" w:rsidP="00884712">
      <w:pPr>
        <w:pStyle w:val="BodyText"/>
        <w:spacing w:before="120"/>
        <w:rPr>
          <w:lang w:val="en-AU"/>
        </w:rPr>
      </w:pPr>
      <w:r w:rsidRPr="00BC4DD1">
        <w:rPr>
          <w:lang w:val="en-AU"/>
        </w:rPr>
        <w:t xml:space="preserve">[9] </w:t>
      </w:r>
      <w:r w:rsidRPr="00BC4DD1">
        <w:rPr>
          <w:i/>
          <w:iCs/>
          <w:lang w:val="en-AU"/>
        </w:rPr>
        <w:t>Safety Assessment of Waterway Network in Tokyo Bay Area</w:t>
      </w:r>
      <w:r w:rsidRPr="00BC4DD1">
        <w:rPr>
          <w:lang w:val="en-AU"/>
        </w:rPr>
        <w:t xml:space="preserve">. 1990. </w:t>
      </w:r>
    </w:p>
    <w:p w14:paraId="00CADE6A" w14:textId="77777777" w:rsidR="00884712" w:rsidRDefault="00884712" w:rsidP="00884712">
      <w:pPr>
        <w:pStyle w:val="BodyText"/>
        <w:spacing w:before="120"/>
        <w:rPr>
          <w:lang w:val="en-AU"/>
        </w:rPr>
      </w:pPr>
      <w:r w:rsidRPr="00BC4DD1">
        <w:rPr>
          <w:lang w:val="en-AU"/>
        </w:rPr>
        <w:t xml:space="preserve">[10] USCG. </w:t>
      </w:r>
      <w:r w:rsidRPr="00BC4DD1">
        <w:rPr>
          <w:i/>
          <w:iCs/>
          <w:lang w:val="en-AU"/>
        </w:rPr>
        <w:t>Port Needs Study</w:t>
      </w:r>
      <w:r w:rsidRPr="00BC4DD1">
        <w:rPr>
          <w:lang w:val="en-AU"/>
        </w:rPr>
        <w:t>. 1991.</w:t>
      </w:r>
    </w:p>
    <w:p w14:paraId="01C346ED" w14:textId="77777777" w:rsidR="00884712" w:rsidRDefault="00884712" w:rsidP="00884712">
      <w:pPr>
        <w:pStyle w:val="BodyText"/>
        <w:spacing w:before="120"/>
        <w:rPr>
          <w:lang w:val="en-AU"/>
        </w:rPr>
      </w:pPr>
    </w:p>
    <w:p w14:paraId="3B84B157" w14:textId="77777777" w:rsidR="00884712" w:rsidRDefault="00884712" w:rsidP="00884712">
      <w:pPr>
        <w:rPr>
          <w:sz w:val="22"/>
        </w:rPr>
        <w:sectPr w:rsidR="00884712" w:rsidSect="00884712">
          <w:headerReference w:type="even" r:id="rId31"/>
          <w:headerReference w:type="default" r:id="rId32"/>
          <w:headerReference w:type="first" r:id="rId33"/>
          <w:pgSz w:w="11906" w:h="16838" w:code="9"/>
          <w:pgMar w:top="567" w:right="794" w:bottom="567" w:left="907" w:header="567" w:footer="850" w:gutter="0"/>
          <w:cols w:space="708"/>
          <w:docGrid w:linePitch="360"/>
        </w:sectPr>
      </w:pPr>
    </w:p>
    <w:p w14:paraId="6C942144" w14:textId="77777777" w:rsidR="00884712" w:rsidRDefault="00884712" w:rsidP="00884712">
      <w:pPr>
        <w:rPr>
          <w:sz w:val="22"/>
        </w:rPr>
      </w:pPr>
    </w:p>
    <w:p w14:paraId="6C550100" w14:textId="77777777" w:rsidR="002C06A0" w:rsidRDefault="00884712" w:rsidP="002C06A0">
      <w:pPr>
        <w:spacing w:before="100" w:beforeAutospacing="1" w:after="100" w:afterAutospacing="1" w:line="240" w:lineRule="auto"/>
        <w:ind w:left="1416"/>
        <w:jc w:val="right"/>
        <w:outlineLvl w:val="0"/>
        <w:rPr>
          <w:rFonts w:eastAsia="Times New Roman" w:cstheme="minorHAnsi"/>
          <w:b/>
          <w:bCs/>
          <w:kern w:val="36"/>
          <w:sz w:val="32"/>
          <w:szCs w:val="32"/>
          <w:lang w:val="en-AU" w:eastAsia="en-AU"/>
        </w:rPr>
      </w:pPr>
      <w:bookmarkStart w:id="65" w:name="_Toc235197797"/>
      <w:bookmarkStart w:id="66" w:name="_Toc238036142"/>
      <w:r w:rsidRPr="00782390">
        <w:rPr>
          <w:rFonts w:eastAsia="Times New Roman" w:cstheme="minorHAnsi"/>
          <w:b/>
          <w:bCs/>
          <w:kern w:val="36"/>
          <w:sz w:val="32"/>
          <w:szCs w:val="32"/>
          <w:lang w:val="en-AU" w:eastAsia="en-AU"/>
        </w:rPr>
        <w:t>ANNEX A</w:t>
      </w:r>
      <w:bookmarkEnd w:id="66"/>
    </w:p>
    <w:p w14:paraId="09CD2A50" w14:textId="30F29BA1" w:rsidR="00884712" w:rsidRPr="00782390" w:rsidRDefault="00884712" w:rsidP="002C06A0">
      <w:pPr>
        <w:spacing w:before="100" w:beforeAutospacing="1" w:after="100" w:afterAutospacing="1" w:line="240" w:lineRule="auto"/>
        <w:ind w:left="1416"/>
        <w:jc w:val="right"/>
        <w:outlineLvl w:val="0"/>
        <w:rPr>
          <w:rFonts w:eastAsia="Times New Roman" w:cstheme="minorHAnsi"/>
          <w:b/>
          <w:bCs/>
          <w:kern w:val="36"/>
          <w:sz w:val="32"/>
          <w:szCs w:val="32"/>
          <w:lang w:val="en-AU" w:eastAsia="en-AU"/>
        </w:rPr>
      </w:pPr>
      <w:bookmarkStart w:id="67" w:name="_Toc238036143"/>
      <w:r>
        <w:rPr>
          <w:rFonts w:eastAsia="Times New Roman" w:cstheme="minorHAnsi"/>
          <w:b/>
          <w:bCs/>
          <w:kern w:val="36"/>
          <w:sz w:val="32"/>
          <w:szCs w:val="32"/>
          <w:lang w:val="en-AU" w:eastAsia="en-AU"/>
        </w:rPr>
        <w:t xml:space="preserve">EXAMPLE </w:t>
      </w:r>
      <w:r w:rsidRPr="00782390">
        <w:rPr>
          <w:rFonts w:eastAsia="Times New Roman" w:cstheme="minorHAnsi"/>
          <w:b/>
          <w:bCs/>
          <w:kern w:val="36"/>
          <w:sz w:val="32"/>
          <w:szCs w:val="32"/>
          <w:lang w:val="en-AU" w:eastAsia="en-AU"/>
        </w:rPr>
        <w:t>DATASET STRUCTURE AND CODING SCHEMES</w:t>
      </w:r>
      <w:bookmarkEnd w:id="65"/>
      <w:bookmarkEnd w:id="67"/>
    </w:p>
    <w:p w14:paraId="1EDCF53D"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This Annex provides supporting material for applying the methodology described in Section 3. It includes:</w:t>
      </w:r>
    </w:p>
    <w:p w14:paraId="1DB8E527" w14:textId="77777777" w:rsidR="00884712" w:rsidRPr="002C4883" w:rsidRDefault="00884712" w:rsidP="00DA78AB">
      <w:pPr>
        <w:numPr>
          <w:ilvl w:val="0"/>
          <w:numId w:val="30"/>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 xml:space="preserve">a recommended dataset format for </w:t>
      </w:r>
      <w:r w:rsidRPr="002C4883">
        <w:rPr>
          <w:rFonts w:eastAsia="Times New Roman" w:cstheme="minorHAnsi"/>
          <w:b/>
          <w:bCs/>
          <w:sz w:val="22"/>
          <w:lang w:val="en-AU" w:eastAsia="en-AU"/>
        </w:rPr>
        <w:t>VTS interactions</w:t>
      </w:r>
      <w:r w:rsidRPr="002C4883">
        <w:rPr>
          <w:rFonts w:eastAsia="Times New Roman" w:cstheme="minorHAnsi"/>
          <w:sz w:val="22"/>
          <w:lang w:val="en-AU" w:eastAsia="en-AU"/>
        </w:rPr>
        <w:t>,</w:t>
      </w:r>
    </w:p>
    <w:p w14:paraId="593BC14A" w14:textId="77777777" w:rsidR="00884712" w:rsidRPr="002C4883" w:rsidRDefault="00884712" w:rsidP="00DA78AB">
      <w:pPr>
        <w:numPr>
          <w:ilvl w:val="0"/>
          <w:numId w:val="30"/>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 xml:space="preserve">a separate dataset format for </w:t>
      </w:r>
      <w:r w:rsidRPr="002C4883">
        <w:rPr>
          <w:rFonts w:eastAsia="Times New Roman" w:cstheme="minorHAnsi"/>
          <w:b/>
          <w:bCs/>
          <w:sz w:val="22"/>
          <w:lang w:val="en-AU" w:eastAsia="en-AU"/>
        </w:rPr>
        <w:t>other safety and environmental measures</w:t>
      </w:r>
      <w:r w:rsidRPr="002C4883">
        <w:rPr>
          <w:rFonts w:eastAsia="Times New Roman" w:cstheme="minorHAnsi"/>
          <w:sz w:val="22"/>
          <w:lang w:val="en-AU" w:eastAsia="en-AU"/>
        </w:rPr>
        <w:t>,</w:t>
      </w:r>
    </w:p>
    <w:p w14:paraId="64730F98" w14:textId="77777777" w:rsidR="00884712" w:rsidRPr="002C4883" w:rsidRDefault="00884712" w:rsidP="00DA78AB">
      <w:pPr>
        <w:numPr>
          <w:ilvl w:val="0"/>
          <w:numId w:val="30"/>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interaction coding scheme,</w:t>
      </w:r>
    </w:p>
    <w:p w14:paraId="2D2A20A6" w14:textId="77777777" w:rsidR="00884712" w:rsidRPr="002C4883" w:rsidRDefault="00884712" w:rsidP="00DA78AB">
      <w:pPr>
        <w:numPr>
          <w:ilvl w:val="0"/>
          <w:numId w:val="30"/>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developing unsafe situation coding scheme.</w:t>
      </w:r>
    </w:p>
    <w:p w14:paraId="44333F65"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These elements support consistent recording and interpretation of VTS contribution across all VTS centres.</w:t>
      </w:r>
    </w:p>
    <w:p w14:paraId="7D13DD47" w14:textId="77777777" w:rsidR="00884712" w:rsidRPr="002C4883" w:rsidRDefault="00884712" w:rsidP="00884712">
      <w:pPr>
        <w:spacing w:before="100" w:beforeAutospacing="1" w:after="100" w:afterAutospacing="1" w:line="240" w:lineRule="auto"/>
        <w:rPr>
          <w:rFonts w:eastAsia="Times New Roman" w:cstheme="minorHAnsi"/>
          <w:i/>
          <w:iCs/>
          <w:sz w:val="22"/>
          <w:lang w:val="en-AU" w:eastAsia="en-AU"/>
        </w:rPr>
      </w:pPr>
      <w:r w:rsidRPr="002C4883">
        <w:rPr>
          <w:rFonts w:eastAsia="Times New Roman" w:cstheme="minorHAnsi"/>
          <w:i/>
          <w:iCs/>
          <w:sz w:val="22"/>
          <w:lang w:val="en-AU" w:eastAsia="en-AU"/>
        </w:rPr>
        <w:t>Note – these examples could be adopted as standalone simply foy recording VTS interaction or incorporated into processes and procedures associated with G near miss etc and Procedures</w:t>
      </w:r>
    </w:p>
    <w:p w14:paraId="7E1CF9F4" w14:textId="77777777" w:rsidR="00884712" w:rsidRPr="002C4883" w:rsidRDefault="00884712" w:rsidP="00884712">
      <w:pPr>
        <w:spacing w:before="100" w:beforeAutospacing="1" w:after="100" w:afterAutospacing="1" w:line="240" w:lineRule="auto"/>
        <w:rPr>
          <w:rFonts w:eastAsia="Times New Roman" w:cstheme="minorHAnsi"/>
          <w:b/>
          <w:bCs/>
          <w:sz w:val="22"/>
          <w:lang w:val="en-AU" w:eastAsia="en-AU"/>
        </w:rPr>
      </w:pPr>
      <w:r w:rsidRPr="002C4883">
        <w:rPr>
          <w:rFonts w:eastAsia="Times New Roman" w:cstheme="minorHAnsi"/>
          <w:b/>
          <w:bCs/>
          <w:sz w:val="22"/>
          <w:lang w:val="en-AU" w:eastAsia="en-AU"/>
        </w:rPr>
        <w:t>A.1 VTS INTERACTION DATASET — EXAMPLE FORMAT</w:t>
      </w:r>
    </w:p>
    <w:p w14:paraId="38AE0DF0" w14:textId="77777777" w:rsidR="00884712" w:rsidRDefault="00884712" w:rsidP="00884712">
      <w:pPr>
        <w:spacing w:before="100" w:beforeAutospacing="1" w:after="100" w:afterAutospacing="1" w:line="240" w:lineRule="auto"/>
        <w:rPr>
          <w:rFonts w:eastAsia="Times New Roman" w:cstheme="minorHAnsi"/>
          <w:sz w:val="22"/>
          <w:lang w:eastAsia="en-AU"/>
        </w:rPr>
      </w:pPr>
      <w:r w:rsidRPr="002C4883">
        <w:rPr>
          <w:rFonts w:eastAsia="Times New Roman" w:cstheme="minorHAnsi"/>
          <w:sz w:val="22"/>
          <w:lang w:eastAsia="en-AU"/>
        </w:rPr>
        <w:t xml:space="preserve">This dataset records all developing unsafe situations and VTS interactions. It forms the core of the methodology. </w:t>
      </w:r>
    </w:p>
    <w:tbl>
      <w:tblPr>
        <w:tblStyle w:val="TableGrid"/>
        <w:tblW w:w="0" w:type="auto"/>
        <w:tblLook w:val="04A0" w:firstRow="1" w:lastRow="0" w:firstColumn="1" w:lastColumn="0" w:noHBand="0" w:noVBand="1"/>
      </w:tblPr>
      <w:tblGrid>
        <w:gridCol w:w="1000"/>
        <w:gridCol w:w="944"/>
        <w:gridCol w:w="885"/>
        <w:gridCol w:w="588"/>
        <w:gridCol w:w="563"/>
        <w:gridCol w:w="1042"/>
        <w:gridCol w:w="708"/>
        <w:gridCol w:w="790"/>
        <w:gridCol w:w="707"/>
        <w:gridCol w:w="757"/>
        <w:gridCol w:w="1117"/>
        <w:gridCol w:w="1094"/>
      </w:tblGrid>
      <w:tr w:rsidR="00884712" w:rsidRPr="00ED38C6" w14:paraId="266C0378" w14:textId="77777777" w:rsidTr="0015219F">
        <w:tc>
          <w:tcPr>
            <w:tcW w:w="1126" w:type="dxa"/>
            <w:shd w:val="clear" w:color="auto" w:fill="0070C0"/>
            <w:vAlign w:val="top"/>
          </w:tcPr>
          <w:p w14:paraId="08597341"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Date/Time</w:t>
            </w:r>
          </w:p>
        </w:tc>
        <w:tc>
          <w:tcPr>
            <w:tcW w:w="1270" w:type="dxa"/>
            <w:shd w:val="clear" w:color="auto" w:fill="0070C0"/>
            <w:vAlign w:val="top"/>
          </w:tcPr>
          <w:p w14:paraId="6AA72787"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Vessel</w:t>
            </w:r>
          </w:p>
        </w:tc>
        <w:tc>
          <w:tcPr>
            <w:tcW w:w="937" w:type="dxa"/>
            <w:shd w:val="clear" w:color="auto" w:fill="0070C0"/>
            <w:vAlign w:val="top"/>
          </w:tcPr>
          <w:p w14:paraId="29A4589C"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Type</w:t>
            </w:r>
          </w:p>
        </w:tc>
        <w:tc>
          <w:tcPr>
            <w:tcW w:w="773" w:type="dxa"/>
            <w:shd w:val="clear" w:color="auto" w:fill="0070C0"/>
            <w:vAlign w:val="top"/>
          </w:tcPr>
          <w:p w14:paraId="20E82819"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LOA</w:t>
            </w:r>
          </w:p>
        </w:tc>
        <w:tc>
          <w:tcPr>
            <w:tcW w:w="709" w:type="dxa"/>
            <w:shd w:val="clear" w:color="auto" w:fill="0070C0"/>
            <w:vAlign w:val="top"/>
          </w:tcPr>
          <w:p w14:paraId="05570F3E"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Flag</w:t>
            </w:r>
          </w:p>
        </w:tc>
        <w:tc>
          <w:tcPr>
            <w:tcW w:w="1276" w:type="dxa"/>
            <w:shd w:val="clear" w:color="auto" w:fill="0070C0"/>
            <w:vAlign w:val="top"/>
          </w:tcPr>
          <w:p w14:paraId="77F06DED"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Location</w:t>
            </w:r>
          </w:p>
        </w:tc>
        <w:tc>
          <w:tcPr>
            <w:tcW w:w="850" w:type="dxa"/>
            <w:shd w:val="clear" w:color="auto" w:fill="0070C0"/>
            <w:vAlign w:val="top"/>
          </w:tcPr>
          <w:p w14:paraId="5DB603F9"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Area</w:t>
            </w:r>
          </w:p>
        </w:tc>
        <w:tc>
          <w:tcPr>
            <w:tcW w:w="851" w:type="dxa"/>
            <w:shd w:val="clear" w:color="auto" w:fill="0070C0"/>
            <w:vAlign w:val="top"/>
          </w:tcPr>
          <w:p w14:paraId="2AC3506F"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Pilotage</w:t>
            </w:r>
          </w:p>
        </w:tc>
        <w:tc>
          <w:tcPr>
            <w:tcW w:w="992" w:type="dxa"/>
            <w:shd w:val="clear" w:color="auto" w:fill="0070C0"/>
            <w:vAlign w:val="top"/>
          </w:tcPr>
          <w:p w14:paraId="21F17829"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DUS Code</w:t>
            </w:r>
          </w:p>
        </w:tc>
        <w:tc>
          <w:tcPr>
            <w:tcW w:w="1134" w:type="dxa"/>
            <w:shd w:val="clear" w:color="auto" w:fill="0070C0"/>
            <w:vAlign w:val="top"/>
          </w:tcPr>
          <w:p w14:paraId="479B7B76"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INT Code</w:t>
            </w:r>
          </w:p>
        </w:tc>
        <w:tc>
          <w:tcPr>
            <w:tcW w:w="1276" w:type="dxa"/>
            <w:shd w:val="clear" w:color="auto" w:fill="0070C0"/>
            <w:vAlign w:val="top"/>
          </w:tcPr>
          <w:p w14:paraId="32DC2B0B"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VTS Attributable</w:t>
            </w:r>
          </w:p>
        </w:tc>
        <w:tc>
          <w:tcPr>
            <w:tcW w:w="1417" w:type="dxa"/>
            <w:shd w:val="clear" w:color="auto" w:fill="0070C0"/>
            <w:vAlign w:val="top"/>
          </w:tcPr>
          <w:p w14:paraId="436C2248" w14:textId="77777777" w:rsidR="00884712" w:rsidRPr="0005199D" w:rsidRDefault="00884712" w:rsidP="0015219F">
            <w:pPr>
              <w:spacing w:before="100" w:beforeAutospacing="1" w:after="100" w:afterAutospacing="1"/>
              <w:rPr>
                <w:rFonts w:eastAsia="Times New Roman" w:cstheme="minorHAnsi"/>
                <w:b/>
                <w:bCs/>
                <w:color w:val="FFFFFF" w:themeColor="background1"/>
                <w:sz w:val="16"/>
                <w:szCs w:val="16"/>
                <w:lang w:eastAsia="en-AU"/>
              </w:rPr>
            </w:pPr>
            <w:r w:rsidRPr="0005199D">
              <w:rPr>
                <w:rFonts w:cstheme="minorHAnsi"/>
                <w:b/>
                <w:bCs/>
                <w:color w:val="FFFFFF" w:themeColor="background1"/>
                <w:sz w:val="16"/>
                <w:szCs w:val="16"/>
              </w:rPr>
              <w:t>Notes</w:t>
            </w:r>
          </w:p>
        </w:tc>
      </w:tr>
      <w:tr w:rsidR="00884712" w:rsidRPr="00ED38C6" w14:paraId="1039B8D8" w14:textId="77777777" w:rsidTr="0015219F">
        <w:tc>
          <w:tcPr>
            <w:tcW w:w="1126" w:type="dxa"/>
            <w:vAlign w:val="top"/>
          </w:tcPr>
          <w:p w14:paraId="18CDC7DF"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2026 03 14 09:42</w:t>
            </w:r>
          </w:p>
        </w:tc>
        <w:tc>
          <w:tcPr>
            <w:tcW w:w="1270" w:type="dxa"/>
            <w:vAlign w:val="top"/>
          </w:tcPr>
          <w:p w14:paraId="29796F1C"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MV Example</w:t>
            </w:r>
          </w:p>
        </w:tc>
        <w:tc>
          <w:tcPr>
            <w:tcW w:w="937" w:type="dxa"/>
            <w:vAlign w:val="top"/>
          </w:tcPr>
          <w:p w14:paraId="32A84862"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Container</w:t>
            </w:r>
          </w:p>
        </w:tc>
        <w:tc>
          <w:tcPr>
            <w:tcW w:w="773" w:type="dxa"/>
            <w:vAlign w:val="top"/>
          </w:tcPr>
          <w:p w14:paraId="7CEDAED1"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280 m</w:t>
            </w:r>
          </w:p>
        </w:tc>
        <w:tc>
          <w:tcPr>
            <w:tcW w:w="709" w:type="dxa"/>
            <w:vAlign w:val="top"/>
          </w:tcPr>
          <w:p w14:paraId="45587240"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AUS</w:t>
            </w:r>
          </w:p>
        </w:tc>
        <w:tc>
          <w:tcPr>
            <w:tcW w:w="1276" w:type="dxa"/>
            <w:vAlign w:val="top"/>
          </w:tcPr>
          <w:p w14:paraId="6D23D17F"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27°28.1’S 153°09.4’E</w:t>
            </w:r>
          </w:p>
        </w:tc>
        <w:tc>
          <w:tcPr>
            <w:tcW w:w="850" w:type="dxa"/>
            <w:vAlign w:val="top"/>
          </w:tcPr>
          <w:p w14:paraId="1228E396"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Sector 2</w:t>
            </w:r>
          </w:p>
        </w:tc>
        <w:tc>
          <w:tcPr>
            <w:tcW w:w="851" w:type="dxa"/>
            <w:vAlign w:val="top"/>
          </w:tcPr>
          <w:p w14:paraId="45AF9B14"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Yes</w:t>
            </w:r>
          </w:p>
        </w:tc>
        <w:tc>
          <w:tcPr>
            <w:tcW w:w="992" w:type="dxa"/>
            <w:vAlign w:val="top"/>
          </w:tcPr>
          <w:p w14:paraId="7CDD20D5"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DUS 02</w:t>
            </w:r>
          </w:p>
        </w:tc>
        <w:tc>
          <w:tcPr>
            <w:tcW w:w="1134" w:type="dxa"/>
            <w:vAlign w:val="top"/>
          </w:tcPr>
          <w:p w14:paraId="4A419206"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INT 01</w:t>
            </w:r>
          </w:p>
        </w:tc>
        <w:tc>
          <w:tcPr>
            <w:tcW w:w="1276" w:type="dxa"/>
            <w:vAlign w:val="top"/>
          </w:tcPr>
          <w:p w14:paraId="508BD9C1"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Y</w:t>
            </w:r>
          </w:p>
        </w:tc>
        <w:tc>
          <w:tcPr>
            <w:tcW w:w="1417" w:type="dxa"/>
            <w:vAlign w:val="top"/>
          </w:tcPr>
          <w:p w14:paraId="202D9855"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Vessel deviated from planned route; corrected following VTS advice</w:t>
            </w:r>
          </w:p>
        </w:tc>
      </w:tr>
      <w:tr w:rsidR="00884712" w:rsidRPr="00ED38C6" w14:paraId="01F0B189" w14:textId="77777777" w:rsidTr="0015219F">
        <w:tc>
          <w:tcPr>
            <w:tcW w:w="1126" w:type="dxa"/>
            <w:vAlign w:val="top"/>
          </w:tcPr>
          <w:p w14:paraId="1174E048"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2026 03 14 11:10</w:t>
            </w:r>
          </w:p>
        </w:tc>
        <w:tc>
          <w:tcPr>
            <w:tcW w:w="1270" w:type="dxa"/>
            <w:vAlign w:val="top"/>
          </w:tcPr>
          <w:p w14:paraId="4BCCEB45"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MT Sample</w:t>
            </w:r>
          </w:p>
        </w:tc>
        <w:tc>
          <w:tcPr>
            <w:tcW w:w="937" w:type="dxa"/>
            <w:vAlign w:val="top"/>
          </w:tcPr>
          <w:p w14:paraId="0F6A89FD"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Tanker</w:t>
            </w:r>
          </w:p>
        </w:tc>
        <w:tc>
          <w:tcPr>
            <w:tcW w:w="773" w:type="dxa"/>
            <w:vAlign w:val="top"/>
          </w:tcPr>
          <w:p w14:paraId="053C732C"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210 m</w:t>
            </w:r>
          </w:p>
        </w:tc>
        <w:tc>
          <w:tcPr>
            <w:tcW w:w="709" w:type="dxa"/>
            <w:vAlign w:val="top"/>
          </w:tcPr>
          <w:p w14:paraId="7B1B24AA"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SGP</w:t>
            </w:r>
          </w:p>
        </w:tc>
        <w:tc>
          <w:tcPr>
            <w:tcW w:w="1276" w:type="dxa"/>
            <w:vAlign w:val="top"/>
          </w:tcPr>
          <w:p w14:paraId="5B5A8B1D"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27°27.5’S 153°10.2’E</w:t>
            </w:r>
          </w:p>
        </w:tc>
        <w:tc>
          <w:tcPr>
            <w:tcW w:w="850" w:type="dxa"/>
            <w:vAlign w:val="top"/>
          </w:tcPr>
          <w:p w14:paraId="3B97AD07"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Sector 1</w:t>
            </w:r>
          </w:p>
        </w:tc>
        <w:tc>
          <w:tcPr>
            <w:tcW w:w="851" w:type="dxa"/>
            <w:vAlign w:val="top"/>
          </w:tcPr>
          <w:p w14:paraId="44D5C90C"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No</w:t>
            </w:r>
          </w:p>
        </w:tc>
        <w:tc>
          <w:tcPr>
            <w:tcW w:w="992" w:type="dxa"/>
            <w:vAlign w:val="top"/>
          </w:tcPr>
          <w:p w14:paraId="588EB397"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DUS 05</w:t>
            </w:r>
          </w:p>
        </w:tc>
        <w:tc>
          <w:tcPr>
            <w:tcW w:w="1134" w:type="dxa"/>
            <w:vAlign w:val="top"/>
          </w:tcPr>
          <w:p w14:paraId="758C86B6"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INT 03</w:t>
            </w:r>
          </w:p>
        </w:tc>
        <w:tc>
          <w:tcPr>
            <w:tcW w:w="1276" w:type="dxa"/>
            <w:vAlign w:val="top"/>
          </w:tcPr>
          <w:p w14:paraId="2B18F2AC"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Y</w:t>
            </w:r>
          </w:p>
        </w:tc>
        <w:tc>
          <w:tcPr>
            <w:tcW w:w="1417" w:type="dxa"/>
            <w:vAlign w:val="top"/>
          </w:tcPr>
          <w:p w14:paraId="77228261" w14:textId="77777777" w:rsidR="00884712" w:rsidRPr="00ED38C6" w:rsidRDefault="00884712" w:rsidP="0015219F">
            <w:pPr>
              <w:spacing w:before="100" w:beforeAutospacing="1" w:after="100" w:afterAutospacing="1"/>
              <w:rPr>
                <w:rFonts w:eastAsia="Times New Roman" w:cstheme="minorHAnsi"/>
                <w:sz w:val="16"/>
                <w:szCs w:val="16"/>
                <w:lang w:eastAsia="en-AU"/>
              </w:rPr>
            </w:pPr>
            <w:r w:rsidRPr="00ED38C6">
              <w:rPr>
                <w:rFonts w:cstheme="minorHAnsi"/>
                <w:sz w:val="16"/>
                <w:szCs w:val="16"/>
              </w:rPr>
              <w:t>Steering gear alarm reported; VTS issued instruction to reduce speed</w:t>
            </w:r>
          </w:p>
        </w:tc>
      </w:tr>
      <w:tr w:rsidR="00884712" w:rsidRPr="00ED38C6" w14:paraId="51A0FA77" w14:textId="77777777" w:rsidTr="0015219F">
        <w:tc>
          <w:tcPr>
            <w:tcW w:w="1126" w:type="dxa"/>
            <w:vAlign w:val="top"/>
          </w:tcPr>
          <w:p w14:paraId="09D796A3" w14:textId="77777777" w:rsidR="00884712" w:rsidRPr="00ED38C6" w:rsidRDefault="00884712" w:rsidP="0015219F">
            <w:pPr>
              <w:spacing w:before="100" w:beforeAutospacing="1" w:after="100" w:afterAutospacing="1"/>
              <w:rPr>
                <w:rFonts w:cstheme="minorHAnsi"/>
                <w:sz w:val="16"/>
                <w:szCs w:val="16"/>
              </w:rPr>
            </w:pPr>
            <w:r w:rsidRPr="00ED38C6">
              <w:rPr>
                <w:rFonts w:cstheme="minorHAnsi"/>
                <w:sz w:val="16"/>
                <w:szCs w:val="16"/>
              </w:rPr>
              <w:t>2026 03 15 02:20</w:t>
            </w:r>
          </w:p>
        </w:tc>
        <w:tc>
          <w:tcPr>
            <w:tcW w:w="1270" w:type="dxa"/>
            <w:vAlign w:val="top"/>
          </w:tcPr>
          <w:p w14:paraId="2EBA91BB" w14:textId="77777777" w:rsidR="00884712" w:rsidRPr="00ED38C6" w:rsidRDefault="00884712" w:rsidP="0015219F">
            <w:pPr>
              <w:spacing w:before="100" w:beforeAutospacing="1" w:after="100" w:afterAutospacing="1"/>
              <w:rPr>
                <w:rFonts w:cstheme="minorHAnsi"/>
                <w:sz w:val="16"/>
                <w:szCs w:val="16"/>
              </w:rPr>
            </w:pPr>
            <w:r w:rsidRPr="00ED38C6">
              <w:rPr>
                <w:rFonts w:cstheme="minorHAnsi"/>
                <w:sz w:val="16"/>
                <w:szCs w:val="16"/>
              </w:rPr>
              <w:t>FV Coral</w:t>
            </w:r>
          </w:p>
        </w:tc>
        <w:tc>
          <w:tcPr>
            <w:tcW w:w="937" w:type="dxa"/>
            <w:vAlign w:val="top"/>
          </w:tcPr>
          <w:p w14:paraId="46758B57" w14:textId="77777777" w:rsidR="00884712" w:rsidRPr="00ED38C6" w:rsidRDefault="00884712" w:rsidP="0015219F">
            <w:pPr>
              <w:spacing w:before="100" w:beforeAutospacing="1" w:after="100" w:afterAutospacing="1"/>
              <w:rPr>
                <w:rFonts w:cstheme="minorHAnsi"/>
                <w:sz w:val="16"/>
                <w:szCs w:val="16"/>
              </w:rPr>
            </w:pPr>
            <w:r w:rsidRPr="00ED38C6">
              <w:rPr>
                <w:rFonts w:cstheme="minorHAnsi"/>
                <w:sz w:val="16"/>
                <w:szCs w:val="16"/>
              </w:rPr>
              <w:t>Fishing</w:t>
            </w:r>
          </w:p>
        </w:tc>
        <w:tc>
          <w:tcPr>
            <w:tcW w:w="773" w:type="dxa"/>
            <w:vAlign w:val="top"/>
          </w:tcPr>
          <w:p w14:paraId="266F6016" w14:textId="77777777" w:rsidR="00884712" w:rsidRPr="00ED38C6" w:rsidRDefault="00884712" w:rsidP="0015219F">
            <w:pPr>
              <w:spacing w:before="100" w:beforeAutospacing="1" w:after="100" w:afterAutospacing="1"/>
              <w:rPr>
                <w:rFonts w:cstheme="minorHAnsi"/>
                <w:sz w:val="16"/>
                <w:szCs w:val="16"/>
              </w:rPr>
            </w:pPr>
            <w:r w:rsidRPr="00ED38C6">
              <w:rPr>
                <w:rFonts w:cstheme="minorHAnsi"/>
                <w:sz w:val="16"/>
                <w:szCs w:val="16"/>
              </w:rPr>
              <w:t>35 m</w:t>
            </w:r>
          </w:p>
        </w:tc>
        <w:tc>
          <w:tcPr>
            <w:tcW w:w="709" w:type="dxa"/>
            <w:vAlign w:val="top"/>
          </w:tcPr>
          <w:p w14:paraId="19C5F520" w14:textId="77777777" w:rsidR="00884712" w:rsidRPr="00ED38C6" w:rsidRDefault="00884712" w:rsidP="0015219F">
            <w:pPr>
              <w:spacing w:before="100" w:beforeAutospacing="1" w:after="100" w:afterAutospacing="1"/>
              <w:rPr>
                <w:rFonts w:cstheme="minorHAnsi"/>
                <w:sz w:val="16"/>
                <w:szCs w:val="16"/>
              </w:rPr>
            </w:pPr>
            <w:r w:rsidRPr="00ED38C6">
              <w:rPr>
                <w:rFonts w:cstheme="minorHAnsi"/>
                <w:sz w:val="16"/>
                <w:szCs w:val="16"/>
              </w:rPr>
              <w:t>NZL</w:t>
            </w:r>
          </w:p>
        </w:tc>
        <w:tc>
          <w:tcPr>
            <w:tcW w:w="1276" w:type="dxa"/>
            <w:vAlign w:val="top"/>
          </w:tcPr>
          <w:p w14:paraId="5A598AE4" w14:textId="77777777" w:rsidR="00884712" w:rsidRPr="00ED38C6" w:rsidRDefault="00884712" w:rsidP="0015219F">
            <w:pPr>
              <w:spacing w:before="100" w:beforeAutospacing="1" w:after="100" w:afterAutospacing="1"/>
              <w:rPr>
                <w:rFonts w:cstheme="minorHAnsi"/>
                <w:sz w:val="16"/>
                <w:szCs w:val="16"/>
              </w:rPr>
            </w:pPr>
            <w:r w:rsidRPr="00ED38C6">
              <w:rPr>
                <w:rFonts w:cstheme="minorHAnsi"/>
                <w:sz w:val="16"/>
                <w:szCs w:val="16"/>
              </w:rPr>
              <w:t>Sector 3</w:t>
            </w:r>
          </w:p>
        </w:tc>
        <w:tc>
          <w:tcPr>
            <w:tcW w:w="850" w:type="dxa"/>
            <w:vAlign w:val="top"/>
          </w:tcPr>
          <w:p w14:paraId="3832247F" w14:textId="77777777" w:rsidR="00884712" w:rsidRPr="00ED38C6" w:rsidRDefault="00884712" w:rsidP="0015219F">
            <w:pPr>
              <w:spacing w:before="100" w:beforeAutospacing="1" w:after="100" w:afterAutospacing="1"/>
              <w:rPr>
                <w:rFonts w:cstheme="minorHAnsi"/>
                <w:sz w:val="16"/>
                <w:szCs w:val="16"/>
              </w:rPr>
            </w:pPr>
            <w:r w:rsidRPr="00ED38C6">
              <w:rPr>
                <w:rFonts w:cstheme="minorHAnsi"/>
                <w:sz w:val="16"/>
                <w:szCs w:val="16"/>
              </w:rPr>
              <w:t>No</w:t>
            </w:r>
          </w:p>
        </w:tc>
        <w:tc>
          <w:tcPr>
            <w:tcW w:w="851" w:type="dxa"/>
            <w:vAlign w:val="top"/>
          </w:tcPr>
          <w:p w14:paraId="76AEE38A" w14:textId="77777777" w:rsidR="00884712" w:rsidRPr="00ED38C6" w:rsidRDefault="00884712" w:rsidP="0015219F">
            <w:pPr>
              <w:spacing w:before="100" w:beforeAutospacing="1" w:after="100" w:afterAutospacing="1"/>
              <w:rPr>
                <w:rFonts w:cstheme="minorHAnsi"/>
                <w:sz w:val="16"/>
                <w:szCs w:val="16"/>
              </w:rPr>
            </w:pPr>
            <w:r w:rsidRPr="00ED38C6">
              <w:rPr>
                <w:rFonts w:cstheme="minorHAnsi"/>
                <w:sz w:val="16"/>
                <w:szCs w:val="16"/>
              </w:rPr>
              <w:t>DUS 07</w:t>
            </w:r>
          </w:p>
        </w:tc>
        <w:tc>
          <w:tcPr>
            <w:tcW w:w="992" w:type="dxa"/>
            <w:vAlign w:val="top"/>
          </w:tcPr>
          <w:p w14:paraId="2E5C294F" w14:textId="77777777" w:rsidR="00884712" w:rsidRPr="00ED38C6" w:rsidRDefault="00884712" w:rsidP="0015219F">
            <w:pPr>
              <w:spacing w:before="100" w:beforeAutospacing="1" w:after="100" w:afterAutospacing="1"/>
              <w:rPr>
                <w:rFonts w:cstheme="minorHAnsi"/>
                <w:sz w:val="16"/>
                <w:szCs w:val="16"/>
              </w:rPr>
            </w:pPr>
            <w:r w:rsidRPr="00ED38C6">
              <w:rPr>
                <w:rFonts w:cstheme="minorHAnsi"/>
                <w:sz w:val="16"/>
                <w:szCs w:val="16"/>
              </w:rPr>
              <w:t>INT 02</w:t>
            </w:r>
          </w:p>
        </w:tc>
        <w:tc>
          <w:tcPr>
            <w:tcW w:w="1134" w:type="dxa"/>
            <w:vAlign w:val="top"/>
          </w:tcPr>
          <w:p w14:paraId="20A97F10" w14:textId="77777777" w:rsidR="00884712" w:rsidRPr="00ED38C6" w:rsidRDefault="00884712" w:rsidP="0015219F">
            <w:pPr>
              <w:spacing w:before="100" w:beforeAutospacing="1" w:after="100" w:afterAutospacing="1"/>
              <w:rPr>
                <w:rFonts w:cstheme="minorHAnsi"/>
                <w:sz w:val="16"/>
                <w:szCs w:val="16"/>
              </w:rPr>
            </w:pPr>
            <w:r w:rsidRPr="00ED38C6">
              <w:rPr>
                <w:rFonts w:cstheme="minorHAnsi"/>
                <w:sz w:val="16"/>
                <w:szCs w:val="16"/>
              </w:rPr>
              <w:t>N</w:t>
            </w:r>
          </w:p>
        </w:tc>
        <w:tc>
          <w:tcPr>
            <w:tcW w:w="1276" w:type="dxa"/>
            <w:vAlign w:val="top"/>
          </w:tcPr>
          <w:p w14:paraId="217C479B" w14:textId="77777777" w:rsidR="00884712" w:rsidRPr="00ED38C6" w:rsidRDefault="00884712" w:rsidP="0015219F">
            <w:pPr>
              <w:spacing w:before="100" w:beforeAutospacing="1" w:after="100" w:afterAutospacing="1"/>
              <w:rPr>
                <w:rFonts w:cstheme="minorHAnsi"/>
                <w:sz w:val="16"/>
                <w:szCs w:val="16"/>
              </w:rPr>
            </w:pPr>
            <w:r w:rsidRPr="00ED38C6">
              <w:rPr>
                <w:rFonts w:cstheme="minorHAnsi"/>
                <w:sz w:val="16"/>
                <w:szCs w:val="16"/>
              </w:rPr>
              <w:t>Emergency response coordinated by SAR; VTS provided warning only</w:t>
            </w:r>
          </w:p>
        </w:tc>
        <w:tc>
          <w:tcPr>
            <w:tcW w:w="1417" w:type="dxa"/>
            <w:vAlign w:val="top"/>
          </w:tcPr>
          <w:p w14:paraId="37D3C107" w14:textId="77777777" w:rsidR="00884712" w:rsidRPr="00ED38C6" w:rsidRDefault="00884712" w:rsidP="0015219F">
            <w:pPr>
              <w:spacing w:before="100" w:beforeAutospacing="1" w:after="100" w:afterAutospacing="1"/>
              <w:rPr>
                <w:rFonts w:cstheme="minorHAnsi"/>
                <w:sz w:val="16"/>
                <w:szCs w:val="16"/>
              </w:rPr>
            </w:pP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84712" w:rsidRPr="002C4883" w14:paraId="7A2255D4" w14:textId="77777777" w:rsidTr="0015219F">
        <w:trPr>
          <w:tblCellSpacing w:w="15" w:type="dxa"/>
        </w:trPr>
        <w:tc>
          <w:tcPr>
            <w:tcW w:w="0" w:type="auto"/>
            <w:vAlign w:val="center"/>
          </w:tcPr>
          <w:p w14:paraId="27B587AA" w14:textId="77777777" w:rsidR="00884712" w:rsidRPr="002C4883" w:rsidRDefault="00884712" w:rsidP="0015219F">
            <w:pPr>
              <w:spacing w:before="100" w:beforeAutospacing="1" w:after="100" w:afterAutospacing="1" w:line="240" w:lineRule="auto"/>
              <w:rPr>
                <w:rFonts w:eastAsia="Times New Roman" w:cstheme="minorHAnsi"/>
                <w:i/>
                <w:iCs/>
                <w:sz w:val="22"/>
                <w:lang w:val="en-AU" w:eastAsia="en-AU"/>
              </w:rPr>
            </w:pPr>
          </w:p>
        </w:tc>
      </w:tr>
    </w:tbl>
    <w:p w14:paraId="12439463" w14:textId="77777777" w:rsidR="00884712" w:rsidRPr="002C4883" w:rsidRDefault="00884712" w:rsidP="00884712">
      <w:pPr>
        <w:spacing w:before="100" w:beforeAutospacing="1" w:after="100" w:afterAutospacing="1" w:line="240" w:lineRule="auto"/>
        <w:rPr>
          <w:rFonts w:eastAsia="Times New Roman" w:cstheme="minorHAnsi"/>
          <w:b/>
          <w:bCs/>
          <w:sz w:val="22"/>
          <w:lang w:val="en-AU" w:eastAsia="en-AU"/>
        </w:rPr>
      </w:pPr>
      <w:r w:rsidRPr="002C4883">
        <w:rPr>
          <w:rFonts w:eastAsia="Times New Roman" w:cstheme="minorHAnsi"/>
          <w:b/>
          <w:bCs/>
          <w:sz w:val="22"/>
          <w:lang w:val="en-AU" w:eastAsia="en-AU"/>
        </w:rPr>
        <w:t>A.2 OTHER MEASURES DATASET — EXAMPLE FORMAT</w:t>
      </w:r>
    </w:p>
    <w:p w14:paraId="45A062DF"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 xml:space="preserve">This dataset records </w:t>
      </w:r>
      <w:r w:rsidRPr="002C4883">
        <w:rPr>
          <w:rFonts w:eastAsia="Times New Roman" w:cstheme="minorHAnsi"/>
          <w:b/>
          <w:bCs/>
          <w:sz w:val="22"/>
          <w:lang w:val="en-AU" w:eastAsia="en-AU"/>
        </w:rPr>
        <w:t>changes to other safety and environmental measures</w:t>
      </w:r>
      <w:r w:rsidRPr="002C4883">
        <w:rPr>
          <w:rFonts w:eastAsia="Times New Roman" w:cstheme="minorHAnsi"/>
          <w:sz w:val="22"/>
          <w:lang w:val="en-AU" w:eastAsia="en-AU"/>
        </w:rPr>
        <w:t>, such as pilotage arrangements, routing measures, DSTs, environmental regulations, and aids to navigation.</w:t>
      </w:r>
    </w:p>
    <w:p w14:paraId="34FDD4BD"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It is separate because:</w:t>
      </w:r>
    </w:p>
    <w:p w14:paraId="08D71454" w14:textId="77777777" w:rsidR="00884712" w:rsidRPr="002C4883" w:rsidRDefault="00884712" w:rsidP="00DA78AB">
      <w:pPr>
        <w:numPr>
          <w:ilvl w:val="0"/>
          <w:numId w:val="31"/>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entries are infrequent,</w:t>
      </w:r>
    </w:p>
    <w:p w14:paraId="3E33A0CC" w14:textId="77777777" w:rsidR="00884712" w:rsidRPr="002C4883" w:rsidRDefault="00884712" w:rsidP="00DA78AB">
      <w:pPr>
        <w:numPr>
          <w:ilvl w:val="0"/>
          <w:numId w:val="31"/>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changes often have long</w:t>
      </w:r>
      <w:r w:rsidRPr="002C4883">
        <w:rPr>
          <w:rFonts w:eastAsia="Times New Roman" w:cstheme="minorHAnsi"/>
          <w:sz w:val="22"/>
          <w:lang w:val="en-AU" w:eastAsia="en-AU"/>
        </w:rPr>
        <w:noBreakHyphen/>
        <w:t>term influence,</w:t>
      </w:r>
    </w:p>
    <w:p w14:paraId="5DAC9A7C" w14:textId="77777777" w:rsidR="00884712" w:rsidRPr="002C4883" w:rsidRDefault="00884712" w:rsidP="00DA78AB">
      <w:pPr>
        <w:numPr>
          <w:ilvl w:val="0"/>
          <w:numId w:val="31"/>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the dataset is used primarily for contextual interpretation.</w:t>
      </w:r>
    </w:p>
    <w:p w14:paraId="41AF61DC" w14:textId="77777777" w:rsidR="00884712" w:rsidRDefault="00884712" w:rsidP="00884712">
      <w:pPr>
        <w:rPr>
          <w:rFonts w:cstheme="minorHAnsi"/>
          <w:b/>
          <w:bCs/>
          <w:sz w:val="22"/>
        </w:rPr>
      </w:pPr>
      <w:r w:rsidRPr="002C4883">
        <w:rPr>
          <w:rFonts w:cstheme="minorHAnsi"/>
          <w:b/>
          <w:bCs/>
          <w:sz w:val="22"/>
        </w:rPr>
        <w:t>Example Other Measures Dataset</w:t>
      </w:r>
    </w:p>
    <w:tbl>
      <w:tblPr>
        <w:tblStyle w:val="TableGrid"/>
        <w:tblW w:w="0" w:type="auto"/>
        <w:tblLook w:val="04A0" w:firstRow="1" w:lastRow="0" w:firstColumn="1" w:lastColumn="0" w:noHBand="0" w:noVBand="1"/>
      </w:tblPr>
      <w:tblGrid>
        <w:gridCol w:w="1555"/>
        <w:gridCol w:w="2126"/>
        <w:gridCol w:w="2693"/>
        <w:gridCol w:w="1418"/>
        <w:gridCol w:w="2403"/>
      </w:tblGrid>
      <w:tr w:rsidR="00884712" w14:paraId="43781B81" w14:textId="77777777" w:rsidTr="0015219F">
        <w:tc>
          <w:tcPr>
            <w:tcW w:w="1555" w:type="dxa"/>
            <w:shd w:val="clear" w:color="auto" w:fill="00B0F0"/>
            <w:vAlign w:val="top"/>
          </w:tcPr>
          <w:p w14:paraId="004A1476" w14:textId="77777777" w:rsidR="00884712" w:rsidRPr="00833D2C" w:rsidRDefault="00884712" w:rsidP="0015219F">
            <w:pPr>
              <w:jc w:val="center"/>
              <w:rPr>
                <w:rFonts w:cstheme="minorHAnsi"/>
                <w:b/>
                <w:bCs/>
                <w:color w:val="FFFFFF" w:themeColor="background1"/>
                <w:sz w:val="20"/>
                <w:szCs w:val="20"/>
              </w:rPr>
            </w:pPr>
            <w:r w:rsidRPr="00833D2C">
              <w:rPr>
                <w:b/>
                <w:bCs/>
                <w:color w:val="FFFFFF" w:themeColor="background1"/>
                <w:sz w:val="20"/>
                <w:szCs w:val="20"/>
              </w:rPr>
              <w:lastRenderedPageBreak/>
              <w:t>Effective Date</w:t>
            </w:r>
          </w:p>
        </w:tc>
        <w:tc>
          <w:tcPr>
            <w:tcW w:w="2126" w:type="dxa"/>
            <w:shd w:val="clear" w:color="auto" w:fill="00B0F0"/>
            <w:vAlign w:val="top"/>
          </w:tcPr>
          <w:p w14:paraId="34FF96AF" w14:textId="77777777" w:rsidR="00884712" w:rsidRPr="00833D2C" w:rsidRDefault="00884712" w:rsidP="0015219F">
            <w:pPr>
              <w:jc w:val="center"/>
              <w:rPr>
                <w:rFonts w:cstheme="minorHAnsi"/>
                <w:b/>
                <w:bCs/>
                <w:color w:val="FFFFFF" w:themeColor="background1"/>
                <w:sz w:val="20"/>
                <w:szCs w:val="20"/>
              </w:rPr>
            </w:pPr>
            <w:r w:rsidRPr="00833D2C">
              <w:rPr>
                <w:b/>
                <w:bCs/>
                <w:color w:val="FFFFFF" w:themeColor="background1"/>
                <w:sz w:val="20"/>
                <w:szCs w:val="20"/>
              </w:rPr>
              <w:t>Measure Type</w:t>
            </w:r>
          </w:p>
        </w:tc>
        <w:tc>
          <w:tcPr>
            <w:tcW w:w="2693" w:type="dxa"/>
            <w:shd w:val="clear" w:color="auto" w:fill="00B0F0"/>
            <w:vAlign w:val="top"/>
          </w:tcPr>
          <w:p w14:paraId="4C448AAC" w14:textId="77777777" w:rsidR="00884712" w:rsidRPr="00833D2C" w:rsidRDefault="00884712" w:rsidP="0015219F">
            <w:pPr>
              <w:jc w:val="center"/>
              <w:rPr>
                <w:rFonts w:cstheme="minorHAnsi"/>
                <w:b/>
                <w:bCs/>
                <w:color w:val="FFFFFF" w:themeColor="background1"/>
                <w:sz w:val="20"/>
                <w:szCs w:val="20"/>
              </w:rPr>
            </w:pPr>
            <w:r w:rsidRPr="00833D2C">
              <w:rPr>
                <w:b/>
                <w:bCs/>
                <w:color w:val="FFFFFF" w:themeColor="background1"/>
                <w:sz w:val="20"/>
                <w:szCs w:val="20"/>
              </w:rPr>
              <w:t>Description</w:t>
            </w:r>
          </w:p>
        </w:tc>
        <w:tc>
          <w:tcPr>
            <w:tcW w:w="1418" w:type="dxa"/>
            <w:shd w:val="clear" w:color="auto" w:fill="00B0F0"/>
            <w:vAlign w:val="top"/>
          </w:tcPr>
          <w:p w14:paraId="7C88BB34" w14:textId="77777777" w:rsidR="00884712" w:rsidRPr="00833D2C" w:rsidRDefault="00884712" w:rsidP="0015219F">
            <w:pPr>
              <w:jc w:val="center"/>
              <w:rPr>
                <w:rFonts w:cstheme="minorHAnsi"/>
                <w:b/>
                <w:bCs/>
                <w:color w:val="FFFFFF" w:themeColor="background1"/>
                <w:sz w:val="20"/>
                <w:szCs w:val="20"/>
              </w:rPr>
            </w:pPr>
            <w:r w:rsidRPr="00833D2C">
              <w:rPr>
                <w:b/>
                <w:bCs/>
                <w:color w:val="FFFFFF" w:themeColor="background1"/>
                <w:sz w:val="20"/>
                <w:szCs w:val="20"/>
              </w:rPr>
              <w:t>Area/Sector</w:t>
            </w:r>
          </w:p>
        </w:tc>
        <w:tc>
          <w:tcPr>
            <w:tcW w:w="2403" w:type="dxa"/>
            <w:shd w:val="clear" w:color="auto" w:fill="00B0F0"/>
            <w:vAlign w:val="top"/>
          </w:tcPr>
          <w:p w14:paraId="2482A81D" w14:textId="77777777" w:rsidR="00884712" w:rsidRPr="00833D2C" w:rsidRDefault="00884712" w:rsidP="0015219F">
            <w:pPr>
              <w:jc w:val="center"/>
              <w:rPr>
                <w:rFonts w:cstheme="minorHAnsi"/>
                <w:b/>
                <w:bCs/>
                <w:color w:val="FFFFFF" w:themeColor="background1"/>
                <w:sz w:val="20"/>
                <w:szCs w:val="20"/>
              </w:rPr>
            </w:pPr>
            <w:r w:rsidRPr="00833D2C">
              <w:rPr>
                <w:b/>
                <w:bCs/>
                <w:color w:val="FFFFFF" w:themeColor="background1"/>
                <w:sz w:val="20"/>
                <w:szCs w:val="20"/>
              </w:rPr>
              <w:t>Notes</w:t>
            </w:r>
          </w:p>
        </w:tc>
      </w:tr>
      <w:tr w:rsidR="00884712" w14:paraId="33C5CC30" w14:textId="77777777" w:rsidTr="0015219F">
        <w:tc>
          <w:tcPr>
            <w:tcW w:w="1555" w:type="dxa"/>
            <w:vAlign w:val="top"/>
          </w:tcPr>
          <w:p w14:paraId="71C3FBD4" w14:textId="77777777" w:rsidR="00884712" w:rsidRPr="00833D2C" w:rsidRDefault="00884712" w:rsidP="0015219F">
            <w:pPr>
              <w:rPr>
                <w:rFonts w:cstheme="minorHAnsi"/>
                <w:b/>
                <w:bCs/>
                <w:sz w:val="20"/>
                <w:szCs w:val="20"/>
              </w:rPr>
            </w:pPr>
            <w:r w:rsidRPr="00833D2C">
              <w:rPr>
                <w:sz w:val="20"/>
                <w:szCs w:val="20"/>
              </w:rPr>
              <w:t>2026 03 01</w:t>
            </w:r>
          </w:p>
        </w:tc>
        <w:tc>
          <w:tcPr>
            <w:tcW w:w="2126" w:type="dxa"/>
            <w:vAlign w:val="top"/>
          </w:tcPr>
          <w:p w14:paraId="06A0D74D" w14:textId="77777777" w:rsidR="00884712" w:rsidRPr="00833D2C" w:rsidRDefault="00884712" w:rsidP="0015219F">
            <w:pPr>
              <w:rPr>
                <w:rFonts w:cstheme="minorHAnsi"/>
                <w:b/>
                <w:bCs/>
                <w:sz w:val="20"/>
                <w:szCs w:val="20"/>
              </w:rPr>
            </w:pPr>
            <w:r w:rsidRPr="00833D2C">
              <w:rPr>
                <w:sz w:val="20"/>
                <w:szCs w:val="20"/>
              </w:rPr>
              <w:t>Routing Measure</w:t>
            </w:r>
          </w:p>
        </w:tc>
        <w:tc>
          <w:tcPr>
            <w:tcW w:w="2693" w:type="dxa"/>
            <w:vAlign w:val="top"/>
          </w:tcPr>
          <w:p w14:paraId="63704C02" w14:textId="77777777" w:rsidR="00884712" w:rsidRPr="00833D2C" w:rsidRDefault="00884712" w:rsidP="0015219F">
            <w:pPr>
              <w:rPr>
                <w:rFonts w:cstheme="minorHAnsi"/>
                <w:b/>
                <w:bCs/>
                <w:sz w:val="20"/>
                <w:szCs w:val="20"/>
              </w:rPr>
            </w:pPr>
            <w:r w:rsidRPr="00833D2C">
              <w:rPr>
                <w:sz w:val="20"/>
                <w:szCs w:val="20"/>
              </w:rPr>
              <w:t>New Traffic Separation Scheme implemented</w:t>
            </w:r>
          </w:p>
        </w:tc>
        <w:tc>
          <w:tcPr>
            <w:tcW w:w="1418" w:type="dxa"/>
            <w:vAlign w:val="top"/>
          </w:tcPr>
          <w:p w14:paraId="6620DAEA" w14:textId="77777777" w:rsidR="00884712" w:rsidRPr="00833D2C" w:rsidRDefault="00884712" w:rsidP="0015219F">
            <w:pPr>
              <w:rPr>
                <w:rFonts w:cstheme="minorHAnsi"/>
                <w:b/>
                <w:bCs/>
                <w:sz w:val="20"/>
                <w:szCs w:val="20"/>
              </w:rPr>
            </w:pPr>
            <w:r w:rsidRPr="00833D2C">
              <w:rPr>
                <w:sz w:val="20"/>
                <w:szCs w:val="20"/>
              </w:rPr>
              <w:t>Sector 2</w:t>
            </w:r>
          </w:p>
        </w:tc>
        <w:tc>
          <w:tcPr>
            <w:tcW w:w="2403" w:type="dxa"/>
            <w:vAlign w:val="top"/>
          </w:tcPr>
          <w:p w14:paraId="157B3C52" w14:textId="77777777" w:rsidR="00884712" w:rsidRPr="00833D2C" w:rsidRDefault="00884712" w:rsidP="0015219F">
            <w:pPr>
              <w:rPr>
                <w:rFonts w:cstheme="minorHAnsi"/>
                <w:b/>
                <w:bCs/>
                <w:sz w:val="20"/>
                <w:szCs w:val="20"/>
              </w:rPr>
            </w:pPr>
            <w:r w:rsidRPr="00833D2C">
              <w:rPr>
                <w:sz w:val="20"/>
                <w:szCs w:val="20"/>
              </w:rPr>
              <w:t>Introduced following risk assessment</w:t>
            </w:r>
          </w:p>
        </w:tc>
      </w:tr>
      <w:tr w:rsidR="00884712" w14:paraId="6E2DF5A6" w14:textId="77777777" w:rsidTr="0015219F">
        <w:tc>
          <w:tcPr>
            <w:tcW w:w="1555" w:type="dxa"/>
            <w:vAlign w:val="top"/>
          </w:tcPr>
          <w:p w14:paraId="46372255" w14:textId="77777777" w:rsidR="00884712" w:rsidRPr="00833D2C" w:rsidRDefault="00884712" w:rsidP="0015219F">
            <w:pPr>
              <w:rPr>
                <w:rFonts w:cstheme="minorHAnsi"/>
                <w:b/>
                <w:bCs/>
                <w:sz w:val="20"/>
                <w:szCs w:val="20"/>
              </w:rPr>
            </w:pPr>
            <w:r w:rsidRPr="00833D2C">
              <w:rPr>
                <w:sz w:val="20"/>
                <w:szCs w:val="20"/>
              </w:rPr>
              <w:t>2026 02 20</w:t>
            </w:r>
          </w:p>
        </w:tc>
        <w:tc>
          <w:tcPr>
            <w:tcW w:w="2126" w:type="dxa"/>
            <w:vAlign w:val="top"/>
          </w:tcPr>
          <w:p w14:paraId="4C2CE900" w14:textId="77777777" w:rsidR="00884712" w:rsidRPr="00833D2C" w:rsidRDefault="00884712" w:rsidP="0015219F">
            <w:pPr>
              <w:rPr>
                <w:rFonts w:cstheme="minorHAnsi"/>
                <w:b/>
                <w:bCs/>
                <w:sz w:val="20"/>
                <w:szCs w:val="20"/>
              </w:rPr>
            </w:pPr>
            <w:r w:rsidRPr="00833D2C">
              <w:rPr>
                <w:sz w:val="20"/>
                <w:szCs w:val="20"/>
              </w:rPr>
              <w:t>Anchorage Procedure</w:t>
            </w:r>
          </w:p>
        </w:tc>
        <w:tc>
          <w:tcPr>
            <w:tcW w:w="2693" w:type="dxa"/>
            <w:vAlign w:val="top"/>
          </w:tcPr>
          <w:p w14:paraId="71F381D5" w14:textId="77777777" w:rsidR="00884712" w:rsidRPr="00833D2C" w:rsidRDefault="00884712" w:rsidP="0015219F">
            <w:pPr>
              <w:rPr>
                <w:rFonts w:cstheme="minorHAnsi"/>
                <w:b/>
                <w:bCs/>
                <w:sz w:val="20"/>
                <w:szCs w:val="20"/>
              </w:rPr>
            </w:pPr>
            <w:r w:rsidRPr="00833D2C">
              <w:rPr>
                <w:sz w:val="20"/>
                <w:szCs w:val="20"/>
              </w:rPr>
              <w:t>Revised anchorage allocation and approach guidance</w:t>
            </w:r>
          </w:p>
        </w:tc>
        <w:tc>
          <w:tcPr>
            <w:tcW w:w="1418" w:type="dxa"/>
            <w:vAlign w:val="top"/>
          </w:tcPr>
          <w:p w14:paraId="25C8CA9B" w14:textId="77777777" w:rsidR="00884712" w:rsidRPr="00833D2C" w:rsidRDefault="00884712" w:rsidP="0015219F">
            <w:pPr>
              <w:rPr>
                <w:rFonts w:cstheme="minorHAnsi"/>
                <w:b/>
                <w:bCs/>
                <w:sz w:val="20"/>
                <w:szCs w:val="20"/>
              </w:rPr>
            </w:pPr>
            <w:r w:rsidRPr="00833D2C">
              <w:rPr>
                <w:sz w:val="20"/>
                <w:szCs w:val="20"/>
              </w:rPr>
              <w:t>Port Limits</w:t>
            </w:r>
          </w:p>
        </w:tc>
        <w:tc>
          <w:tcPr>
            <w:tcW w:w="2403" w:type="dxa"/>
            <w:vAlign w:val="top"/>
          </w:tcPr>
          <w:p w14:paraId="23116A76" w14:textId="77777777" w:rsidR="00884712" w:rsidRPr="00833D2C" w:rsidRDefault="00884712" w:rsidP="0015219F">
            <w:pPr>
              <w:rPr>
                <w:rFonts w:cstheme="minorHAnsi"/>
                <w:b/>
                <w:bCs/>
                <w:sz w:val="20"/>
                <w:szCs w:val="20"/>
              </w:rPr>
            </w:pPr>
            <w:r w:rsidRPr="00833D2C">
              <w:rPr>
                <w:sz w:val="20"/>
                <w:szCs w:val="20"/>
              </w:rPr>
              <w:t>Communicated to all users via Notice to Mariners</w:t>
            </w:r>
          </w:p>
        </w:tc>
      </w:tr>
      <w:tr w:rsidR="00884712" w14:paraId="1334602B" w14:textId="77777777" w:rsidTr="0015219F">
        <w:tc>
          <w:tcPr>
            <w:tcW w:w="1555" w:type="dxa"/>
            <w:vAlign w:val="top"/>
          </w:tcPr>
          <w:p w14:paraId="7435D7C3" w14:textId="77777777" w:rsidR="00884712" w:rsidRPr="00833D2C" w:rsidRDefault="00884712" w:rsidP="0015219F">
            <w:pPr>
              <w:rPr>
                <w:rFonts w:cstheme="minorHAnsi"/>
                <w:b/>
                <w:bCs/>
                <w:sz w:val="20"/>
                <w:szCs w:val="20"/>
              </w:rPr>
            </w:pPr>
            <w:r w:rsidRPr="00833D2C">
              <w:rPr>
                <w:sz w:val="20"/>
                <w:szCs w:val="20"/>
              </w:rPr>
              <w:t>2026 04 20</w:t>
            </w:r>
          </w:p>
        </w:tc>
        <w:tc>
          <w:tcPr>
            <w:tcW w:w="2126" w:type="dxa"/>
            <w:vAlign w:val="top"/>
          </w:tcPr>
          <w:p w14:paraId="50A35AC9" w14:textId="77777777" w:rsidR="00884712" w:rsidRPr="00833D2C" w:rsidRDefault="00884712" w:rsidP="0015219F">
            <w:pPr>
              <w:rPr>
                <w:rFonts w:cstheme="minorHAnsi"/>
                <w:b/>
                <w:bCs/>
                <w:sz w:val="20"/>
                <w:szCs w:val="20"/>
              </w:rPr>
            </w:pPr>
            <w:r w:rsidRPr="00833D2C">
              <w:rPr>
                <w:sz w:val="20"/>
                <w:szCs w:val="20"/>
              </w:rPr>
              <w:t>DST Upgrade</w:t>
            </w:r>
          </w:p>
        </w:tc>
        <w:tc>
          <w:tcPr>
            <w:tcW w:w="2693" w:type="dxa"/>
            <w:vAlign w:val="top"/>
          </w:tcPr>
          <w:p w14:paraId="25DEB01B" w14:textId="77777777" w:rsidR="00884712" w:rsidRPr="00833D2C" w:rsidRDefault="00884712" w:rsidP="0015219F">
            <w:pPr>
              <w:rPr>
                <w:rFonts w:cstheme="minorHAnsi"/>
                <w:b/>
                <w:bCs/>
                <w:sz w:val="20"/>
                <w:szCs w:val="20"/>
              </w:rPr>
            </w:pPr>
            <w:r w:rsidRPr="00833D2C">
              <w:rPr>
                <w:sz w:val="20"/>
                <w:szCs w:val="20"/>
              </w:rPr>
              <w:t>Enhanced traffic prediction module deployed</w:t>
            </w:r>
          </w:p>
        </w:tc>
        <w:tc>
          <w:tcPr>
            <w:tcW w:w="1418" w:type="dxa"/>
            <w:vAlign w:val="top"/>
          </w:tcPr>
          <w:p w14:paraId="6B16C28A" w14:textId="77777777" w:rsidR="00884712" w:rsidRPr="00833D2C" w:rsidRDefault="00884712" w:rsidP="0015219F">
            <w:pPr>
              <w:rPr>
                <w:rFonts w:cstheme="minorHAnsi"/>
                <w:b/>
                <w:bCs/>
                <w:sz w:val="20"/>
                <w:szCs w:val="20"/>
              </w:rPr>
            </w:pPr>
            <w:r w:rsidRPr="00833D2C">
              <w:rPr>
                <w:sz w:val="20"/>
                <w:szCs w:val="20"/>
              </w:rPr>
              <w:t>All sectors</w:t>
            </w:r>
          </w:p>
        </w:tc>
        <w:tc>
          <w:tcPr>
            <w:tcW w:w="2403" w:type="dxa"/>
            <w:vAlign w:val="top"/>
          </w:tcPr>
          <w:p w14:paraId="633213F4" w14:textId="77777777" w:rsidR="00884712" w:rsidRPr="00833D2C" w:rsidRDefault="00884712" w:rsidP="0015219F">
            <w:pPr>
              <w:rPr>
                <w:rFonts w:cstheme="minorHAnsi"/>
                <w:b/>
                <w:bCs/>
                <w:sz w:val="20"/>
                <w:szCs w:val="20"/>
              </w:rPr>
            </w:pPr>
            <w:r w:rsidRPr="00833D2C">
              <w:rPr>
                <w:sz w:val="20"/>
                <w:szCs w:val="20"/>
              </w:rPr>
              <w:t>Operator training completed</w:t>
            </w:r>
          </w:p>
        </w:tc>
      </w:tr>
    </w:tbl>
    <w:p w14:paraId="5B5A1402" w14:textId="77777777" w:rsidR="00884712" w:rsidRPr="002C4883" w:rsidRDefault="00884712" w:rsidP="00884712">
      <w:pPr>
        <w:pStyle w:val="NormalWeb"/>
        <w:spacing w:before="120" w:after="120"/>
        <w:rPr>
          <w:rFonts w:asciiTheme="minorHAnsi" w:hAnsiTheme="minorHAnsi" w:cstheme="minorHAnsi"/>
          <w:szCs w:val="22"/>
        </w:rPr>
      </w:pPr>
      <w:r w:rsidRPr="002C4883">
        <w:rPr>
          <w:rFonts w:asciiTheme="minorHAnsi" w:hAnsiTheme="minorHAnsi" w:cstheme="minorHAnsi"/>
          <w:szCs w:val="22"/>
        </w:rPr>
        <w:t>This dataset is referenced when interpreting trends in the interaction dataset.</w:t>
      </w:r>
    </w:p>
    <w:p w14:paraId="29BE6805" w14:textId="77777777" w:rsidR="00884712" w:rsidRPr="002C4883" w:rsidRDefault="00884712" w:rsidP="00884712">
      <w:pPr>
        <w:spacing w:before="100" w:beforeAutospacing="1" w:after="100" w:afterAutospacing="1" w:line="240" w:lineRule="auto"/>
        <w:rPr>
          <w:rFonts w:eastAsia="Times New Roman" w:cstheme="minorHAnsi"/>
          <w:b/>
          <w:bCs/>
          <w:sz w:val="22"/>
          <w:lang w:val="en-AU" w:eastAsia="en-AU"/>
        </w:rPr>
      </w:pPr>
      <w:r w:rsidRPr="002C4883">
        <w:rPr>
          <w:rFonts w:eastAsia="Times New Roman" w:cstheme="minorHAnsi"/>
          <w:b/>
          <w:bCs/>
          <w:sz w:val="22"/>
          <w:lang w:val="en-AU" w:eastAsia="en-AU"/>
        </w:rPr>
        <w:t>A.3 INTERACTION CODING SCHEME</w:t>
      </w:r>
    </w:p>
    <w:p w14:paraId="08A952C0" w14:textId="77777777" w:rsidR="00884712" w:rsidRDefault="00884712" w:rsidP="00884712">
      <w:p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VTS interactions should be coded according to the message markers defined in IMO standard marine communication phrases. These codes reflect the nature of the VTS intervention.</w:t>
      </w:r>
    </w:p>
    <w:tbl>
      <w:tblPr>
        <w:tblStyle w:val="TableGrid"/>
        <w:tblW w:w="0" w:type="auto"/>
        <w:tblLook w:val="04A0" w:firstRow="1" w:lastRow="0" w:firstColumn="1" w:lastColumn="0" w:noHBand="0" w:noVBand="1"/>
      </w:tblPr>
      <w:tblGrid>
        <w:gridCol w:w="846"/>
        <w:gridCol w:w="1984"/>
        <w:gridCol w:w="7365"/>
      </w:tblGrid>
      <w:tr w:rsidR="00884712" w14:paraId="7AE0366C" w14:textId="77777777" w:rsidTr="0015219F">
        <w:tc>
          <w:tcPr>
            <w:tcW w:w="846" w:type="dxa"/>
            <w:shd w:val="clear" w:color="auto" w:fill="00B0F0"/>
            <w:vAlign w:val="top"/>
          </w:tcPr>
          <w:p w14:paraId="62D83570" w14:textId="77777777" w:rsidR="00884712" w:rsidRPr="003F317B" w:rsidRDefault="00884712" w:rsidP="0015219F">
            <w:pPr>
              <w:spacing w:before="100" w:beforeAutospacing="1" w:after="100" w:afterAutospacing="1"/>
              <w:jc w:val="center"/>
              <w:rPr>
                <w:rFonts w:eastAsia="Times New Roman" w:cstheme="minorHAnsi"/>
                <w:b/>
                <w:bCs/>
                <w:color w:val="FFFFFF" w:themeColor="background1"/>
                <w:sz w:val="20"/>
                <w:szCs w:val="20"/>
                <w:lang w:val="en-AU" w:eastAsia="en-AU"/>
              </w:rPr>
            </w:pPr>
            <w:r w:rsidRPr="003F317B">
              <w:rPr>
                <w:b/>
                <w:bCs/>
                <w:color w:val="FFFFFF" w:themeColor="background1"/>
                <w:sz w:val="20"/>
                <w:szCs w:val="20"/>
              </w:rPr>
              <w:t>Code</w:t>
            </w:r>
          </w:p>
        </w:tc>
        <w:tc>
          <w:tcPr>
            <w:tcW w:w="1984" w:type="dxa"/>
            <w:shd w:val="clear" w:color="auto" w:fill="00B0F0"/>
            <w:vAlign w:val="top"/>
          </w:tcPr>
          <w:p w14:paraId="1B86F18A" w14:textId="77777777" w:rsidR="00884712" w:rsidRPr="003F317B" w:rsidRDefault="00884712" w:rsidP="0015219F">
            <w:pPr>
              <w:spacing w:before="100" w:beforeAutospacing="1" w:after="100" w:afterAutospacing="1"/>
              <w:jc w:val="center"/>
              <w:rPr>
                <w:rFonts w:eastAsia="Times New Roman" w:cstheme="minorHAnsi"/>
                <w:b/>
                <w:bCs/>
                <w:color w:val="FFFFFF" w:themeColor="background1"/>
                <w:sz w:val="20"/>
                <w:szCs w:val="20"/>
                <w:lang w:val="en-AU" w:eastAsia="en-AU"/>
              </w:rPr>
            </w:pPr>
            <w:r w:rsidRPr="003F317B">
              <w:rPr>
                <w:b/>
                <w:bCs/>
                <w:color w:val="FFFFFF" w:themeColor="background1"/>
                <w:sz w:val="20"/>
                <w:szCs w:val="20"/>
              </w:rPr>
              <w:t>Interaction Type</w:t>
            </w:r>
          </w:p>
        </w:tc>
        <w:tc>
          <w:tcPr>
            <w:tcW w:w="7365" w:type="dxa"/>
            <w:shd w:val="clear" w:color="auto" w:fill="00B0F0"/>
            <w:vAlign w:val="top"/>
          </w:tcPr>
          <w:p w14:paraId="22ED0B88" w14:textId="77777777" w:rsidR="00884712" w:rsidRPr="003F317B" w:rsidRDefault="00884712" w:rsidP="0015219F">
            <w:pPr>
              <w:spacing w:before="100" w:beforeAutospacing="1" w:after="100" w:afterAutospacing="1"/>
              <w:jc w:val="center"/>
              <w:rPr>
                <w:rFonts w:eastAsia="Times New Roman" w:cstheme="minorHAnsi"/>
                <w:b/>
                <w:bCs/>
                <w:color w:val="FFFFFF" w:themeColor="background1"/>
                <w:sz w:val="20"/>
                <w:szCs w:val="20"/>
                <w:lang w:val="en-AU" w:eastAsia="en-AU"/>
              </w:rPr>
            </w:pPr>
            <w:r w:rsidRPr="003F317B">
              <w:rPr>
                <w:b/>
                <w:bCs/>
                <w:color w:val="FFFFFF" w:themeColor="background1"/>
                <w:sz w:val="20"/>
                <w:szCs w:val="20"/>
              </w:rPr>
              <w:t>Description</w:t>
            </w:r>
          </w:p>
        </w:tc>
      </w:tr>
      <w:tr w:rsidR="00884712" w14:paraId="146EB735" w14:textId="77777777" w:rsidTr="0015219F">
        <w:tc>
          <w:tcPr>
            <w:tcW w:w="846" w:type="dxa"/>
            <w:vAlign w:val="top"/>
          </w:tcPr>
          <w:p w14:paraId="0694BB28" w14:textId="77777777" w:rsidR="00884712" w:rsidRPr="003F317B" w:rsidRDefault="00884712" w:rsidP="0015219F">
            <w:pPr>
              <w:spacing w:before="100" w:beforeAutospacing="1" w:after="100" w:afterAutospacing="1"/>
              <w:rPr>
                <w:rFonts w:eastAsia="Times New Roman" w:cstheme="minorHAnsi"/>
                <w:sz w:val="20"/>
                <w:szCs w:val="20"/>
                <w:lang w:val="en-AU" w:eastAsia="en-AU"/>
              </w:rPr>
            </w:pPr>
            <w:r w:rsidRPr="003F317B">
              <w:rPr>
                <w:sz w:val="20"/>
                <w:szCs w:val="20"/>
              </w:rPr>
              <w:t>INT 01</w:t>
            </w:r>
          </w:p>
        </w:tc>
        <w:tc>
          <w:tcPr>
            <w:tcW w:w="1984" w:type="dxa"/>
            <w:vAlign w:val="top"/>
          </w:tcPr>
          <w:p w14:paraId="12DCB2FE" w14:textId="77777777" w:rsidR="00884712" w:rsidRPr="003F317B" w:rsidRDefault="00884712" w:rsidP="0015219F">
            <w:pPr>
              <w:spacing w:before="100" w:beforeAutospacing="1" w:after="100" w:afterAutospacing="1"/>
              <w:rPr>
                <w:rFonts w:eastAsia="Times New Roman" w:cstheme="minorHAnsi"/>
                <w:sz w:val="20"/>
                <w:szCs w:val="20"/>
                <w:lang w:val="en-AU" w:eastAsia="en-AU"/>
              </w:rPr>
            </w:pPr>
            <w:r w:rsidRPr="003F317B">
              <w:rPr>
                <w:sz w:val="20"/>
                <w:szCs w:val="20"/>
              </w:rPr>
              <w:t>Advice</w:t>
            </w:r>
          </w:p>
        </w:tc>
        <w:tc>
          <w:tcPr>
            <w:tcW w:w="7365" w:type="dxa"/>
            <w:vAlign w:val="top"/>
          </w:tcPr>
          <w:p w14:paraId="37CB7C5C" w14:textId="77777777" w:rsidR="00884712" w:rsidRPr="003F317B" w:rsidRDefault="00884712" w:rsidP="0015219F">
            <w:pPr>
              <w:spacing w:before="100" w:beforeAutospacing="1" w:after="100" w:afterAutospacing="1"/>
              <w:rPr>
                <w:rFonts w:eastAsia="Times New Roman" w:cstheme="minorHAnsi"/>
                <w:sz w:val="20"/>
                <w:szCs w:val="20"/>
                <w:lang w:val="en-AU" w:eastAsia="en-AU"/>
              </w:rPr>
            </w:pPr>
            <w:r w:rsidRPr="003F317B">
              <w:rPr>
                <w:sz w:val="20"/>
                <w:szCs w:val="20"/>
              </w:rPr>
              <w:t>Information provided to assist safe and efficient navigation.</w:t>
            </w:r>
          </w:p>
        </w:tc>
      </w:tr>
      <w:tr w:rsidR="00884712" w14:paraId="67B16661" w14:textId="77777777" w:rsidTr="0015219F">
        <w:tc>
          <w:tcPr>
            <w:tcW w:w="846" w:type="dxa"/>
            <w:vAlign w:val="top"/>
          </w:tcPr>
          <w:p w14:paraId="7677214D" w14:textId="77777777" w:rsidR="00884712" w:rsidRPr="003F317B" w:rsidRDefault="00884712" w:rsidP="0015219F">
            <w:pPr>
              <w:spacing w:before="100" w:beforeAutospacing="1" w:after="100" w:afterAutospacing="1"/>
              <w:rPr>
                <w:rFonts w:eastAsia="Times New Roman" w:cstheme="minorHAnsi"/>
                <w:sz w:val="20"/>
                <w:szCs w:val="20"/>
                <w:lang w:val="en-AU" w:eastAsia="en-AU"/>
              </w:rPr>
            </w:pPr>
            <w:r w:rsidRPr="003F317B">
              <w:rPr>
                <w:sz w:val="20"/>
                <w:szCs w:val="20"/>
              </w:rPr>
              <w:t>INT 02</w:t>
            </w:r>
          </w:p>
        </w:tc>
        <w:tc>
          <w:tcPr>
            <w:tcW w:w="1984" w:type="dxa"/>
            <w:vAlign w:val="top"/>
          </w:tcPr>
          <w:p w14:paraId="534577E4" w14:textId="77777777" w:rsidR="00884712" w:rsidRPr="003F317B" w:rsidRDefault="00884712" w:rsidP="0015219F">
            <w:pPr>
              <w:spacing w:before="100" w:beforeAutospacing="1" w:after="100" w:afterAutospacing="1"/>
              <w:rPr>
                <w:rFonts w:eastAsia="Times New Roman" w:cstheme="minorHAnsi"/>
                <w:sz w:val="20"/>
                <w:szCs w:val="20"/>
                <w:lang w:val="en-AU" w:eastAsia="en-AU"/>
              </w:rPr>
            </w:pPr>
            <w:r w:rsidRPr="003F317B">
              <w:rPr>
                <w:sz w:val="20"/>
                <w:szCs w:val="20"/>
              </w:rPr>
              <w:t>Warning</w:t>
            </w:r>
          </w:p>
        </w:tc>
        <w:tc>
          <w:tcPr>
            <w:tcW w:w="7365" w:type="dxa"/>
            <w:vAlign w:val="top"/>
          </w:tcPr>
          <w:p w14:paraId="2B15357A" w14:textId="77777777" w:rsidR="00884712" w:rsidRPr="003F317B" w:rsidRDefault="00884712" w:rsidP="0015219F">
            <w:pPr>
              <w:spacing w:before="100" w:beforeAutospacing="1" w:after="100" w:afterAutospacing="1"/>
              <w:rPr>
                <w:rFonts w:eastAsia="Times New Roman" w:cstheme="minorHAnsi"/>
                <w:sz w:val="20"/>
                <w:szCs w:val="20"/>
                <w:lang w:val="en-AU" w:eastAsia="en-AU"/>
              </w:rPr>
            </w:pPr>
            <w:r w:rsidRPr="003F317B">
              <w:rPr>
                <w:sz w:val="20"/>
                <w:szCs w:val="20"/>
              </w:rPr>
              <w:t>Information alerting the vessel to a hazard or developing unsafe situation.</w:t>
            </w:r>
          </w:p>
        </w:tc>
      </w:tr>
      <w:tr w:rsidR="00884712" w14:paraId="15AFEF0A" w14:textId="77777777" w:rsidTr="0015219F">
        <w:tc>
          <w:tcPr>
            <w:tcW w:w="846" w:type="dxa"/>
            <w:vAlign w:val="top"/>
          </w:tcPr>
          <w:p w14:paraId="1BB18802" w14:textId="77777777" w:rsidR="00884712" w:rsidRPr="003F317B" w:rsidRDefault="00884712" w:rsidP="0015219F">
            <w:pPr>
              <w:spacing w:before="100" w:beforeAutospacing="1" w:after="100" w:afterAutospacing="1"/>
              <w:rPr>
                <w:rFonts w:eastAsia="Times New Roman" w:cstheme="minorHAnsi"/>
                <w:sz w:val="20"/>
                <w:szCs w:val="20"/>
                <w:lang w:val="en-AU" w:eastAsia="en-AU"/>
              </w:rPr>
            </w:pPr>
            <w:r w:rsidRPr="003F317B">
              <w:rPr>
                <w:sz w:val="20"/>
                <w:szCs w:val="20"/>
              </w:rPr>
              <w:t>INT 03</w:t>
            </w:r>
          </w:p>
        </w:tc>
        <w:tc>
          <w:tcPr>
            <w:tcW w:w="1984" w:type="dxa"/>
            <w:vAlign w:val="top"/>
          </w:tcPr>
          <w:p w14:paraId="04BB765E" w14:textId="77777777" w:rsidR="00884712" w:rsidRPr="003F317B" w:rsidRDefault="00884712" w:rsidP="0015219F">
            <w:pPr>
              <w:spacing w:before="100" w:beforeAutospacing="1" w:after="100" w:afterAutospacing="1"/>
              <w:rPr>
                <w:rFonts w:eastAsia="Times New Roman" w:cstheme="minorHAnsi"/>
                <w:sz w:val="20"/>
                <w:szCs w:val="20"/>
                <w:lang w:val="en-AU" w:eastAsia="en-AU"/>
              </w:rPr>
            </w:pPr>
            <w:r w:rsidRPr="003F317B">
              <w:rPr>
                <w:sz w:val="20"/>
                <w:szCs w:val="20"/>
              </w:rPr>
              <w:t>Instruction</w:t>
            </w:r>
          </w:p>
        </w:tc>
        <w:tc>
          <w:tcPr>
            <w:tcW w:w="7365" w:type="dxa"/>
            <w:vAlign w:val="top"/>
          </w:tcPr>
          <w:p w14:paraId="26B8AC1F" w14:textId="77777777" w:rsidR="00884712" w:rsidRPr="003F317B" w:rsidRDefault="00884712" w:rsidP="0015219F">
            <w:pPr>
              <w:spacing w:before="100" w:beforeAutospacing="1" w:after="100" w:afterAutospacing="1"/>
              <w:rPr>
                <w:rFonts w:eastAsia="Times New Roman" w:cstheme="minorHAnsi"/>
                <w:sz w:val="20"/>
                <w:szCs w:val="20"/>
                <w:lang w:val="en-AU" w:eastAsia="en-AU"/>
              </w:rPr>
            </w:pPr>
            <w:r w:rsidRPr="003F317B">
              <w:rPr>
                <w:sz w:val="20"/>
                <w:szCs w:val="20"/>
              </w:rPr>
              <w:t>Directive issued by VTS to prevent or mitigate a developing unsafe situation.</w:t>
            </w:r>
          </w:p>
        </w:tc>
      </w:tr>
    </w:tbl>
    <w:p w14:paraId="19721AF1"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Coding Principles</w:t>
      </w:r>
    </w:p>
    <w:p w14:paraId="49804DE4" w14:textId="77777777" w:rsidR="00884712" w:rsidRPr="002C4883" w:rsidRDefault="00884712" w:rsidP="00DA78AB">
      <w:pPr>
        <w:numPr>
          <w:ilvl w:val="0"/>
          <w:numId w:val="27"/>
        </w:numPr>
        <w:spacing w:before="120" w:after="120" w:line="240" w:lineRule="auto"/>
        <w:ind w:left="714" w:hanging="357"/>
        <w:rPr>
          <w:rFonts w:eastAsia="Times New Roman" w:cstheme="minorHAnsi"/>
          <w:sz w:val="22"/>
          <w:lang w:val="en-AU" w:eastAsia="en-AU"/>
        </w:rPr>
      </w:pPr>
      <w:r w:rsidRPr="002C4883">
        <w:rPr>
          <w:rFonts w:eastAsia="Times New Roman" w:cstheme="minorHAnsi"/>
          <w:sz w:val="22"/>
          <w:lang w:val="en-AU" w:eastAsia="en-AU"/>
        </w:rPr>
        <w:t>Codes must be applied consistently across all events.</w:t>
      </w:r>
    </w:p>
    <w:p w14:paraId="5A390276" w14:textId="77777777" w:rsidR="00884712" w:rsidRPr="002C4883" w:rsidRDefault="00884712" w:rsidP="00DA78AB">
      <w:pPr>
        <w:numPr>
          <w:ilvl w:val="0"/>
          <w:numId w:val="27"/>
        </w:numPr>
        <w:spacing w:before="120" w:after="120" w:line="240" w:lineRule="auto"/>
        <w:ind w:left="714" w:hanging="357"/>
        <w:rPr>
          <w:rFonts w:eastAsia="Times New Roman" w:cstheme="minorHAnsi"/>
          <w:sz w:val="22"/>
          <w:lang w:val="en-AU" w:eastAsia="en-AU"/>
        </w:rPr>
      </w:pPr>
      <w:r w:rsidRPr="002C4883">
        <w:rPr>
          <w:rFonts w:eastAsia="Times New Roman" w:cstheme="minorHAnsi"/>
          <w:sz w:val="22"/>
          <w:lang w:val="en-AU" w:eastAsia="en-AU"/>
        </w:rPr>
        <w:t>Multiple interactions may occur within a single event; each should be coded.</w:t>
      </w:r>
    </w:p>
    <w:p w14:paraId="58205284" w14:textId="77777777" w:rsidR="00884712" w:rsidRPr="002C4883" w:rsidRDefault="00884712" w:rsidP="00DA78AB">
      <w:pPr>
        <w:numPr>
          <w:ilvl w:val="0"/>
          <w:numId w:val="27"/>
        </w:numPr>
        <w:spacing w:before="120" w:after="120" w:line="240" w:lineRule="auto"/>
        <w:ind w:left="714" w:hanging="357"/>
        <w:rPr>
          <w:rFonts w:eastAsia="Times New Roman" w:cstheme="minorHAnsi"/>
          <w:sz w:val="22"/>
          <w:lang w:val="en-AU" w:eastAsia="en-AU"/>
        </w:rPr>
      </w:pPr>
      <w:r w:rsidRPr="002C4883">
        <w:rPr>
          <w:rFonts w:eastAsia="Times New Roman" w:cstheme="minorHAnsi"/>
          <w:sz w:val="22"/>
          <w:lang w:val="en-AU" w:eastAsia="en-AU"/>
        </w:rPr>
        <w:t>Escalation (e.g., advice → warning → instruction) should be recorded sequentially.</w:t>
      </w:r>
    </w:p>
    <w:p w14:paraId="6B0A7023" w14:textId="77777777" w:rsidR="00884712" w:rsidRPr="002C4883" w:rsidRDefault="00884712" w:rsidP="00DA78AB">
      <w:pPr>
        <w:numPr>
          <w:ilvl w:val="0"/>
          <w:numId w:val="27"/>
        </w:numPr>
        <w:spacing w:before="120" w:after="120" w:line="240" w:lineRule="auto"/>
        <w:ind w:left="714" w:hanging="357"/>
        <w:rPr>
          <w:rFonts w:eastAsia="Times New Roman" w:cstheme="minorHAnsi"/>
          <w:sz w:val="22"/>
          <w:lang w:val="en-AU" w:eastAsia="en-AU"/>
        </w:rPr>
      </w:pPr>
      <w:r w:rsidRPr="002C4883">
        <w:rPr>
          <w:rFonts w:eastAsia="Times New Roman" w:cstheme="minorHAnsi"/>
          <w:sz w:val="22"/>
          <w:lang w:val="en-AU" w:eastAsia="en-AU"/>
        </w:rPr>
        <w:t>Codes should be used in the time</w:t>
      </w:r>
      <w:r w:rsidRPr="002C4883">
        <w:rPr>
          <w:rFonts w:eastAsia="Times New Roman" w:cstheme="minorHAnsi"/>
          <w:sz w:val="22"/>
          <w:lang w:val="en-AU" w:eastAsia="en-AU"/>
        </w:rPr>
        <w:noBreakHyphen/>
        <w:t>series dataset and in internal reporting.</w:t>
      </w:r>
    </w:p>
    <w:p w14:paraId="0A7CD4EC" w14:textId="77777777" w:rsidR="00884712" w:rsidRPr="002C4883" w:rsidRDefault="00884712" w:rsidP="00884712">
      <w:pPr>
        <w:spacing w:before="100" w:beforeAutospacing="1" w:after="100" w:afterAutospacing="1" w:line="240" w:lineRule="auto"/>
        <w:rPr>
          <w:rFonts w:eastAsia="Times New Roman" w:cstheme="minorHAnsi"/>
          <w:b/>
          <w:bCs/>
          <w:sz w:val="22"/>
          <w:lang w:val="en-AU" w:eastAsia="en-AU"/>
        </w:rPr>
      </w:pPr>
      <w:r w:rsidRPr="002C4883">
        <w:rPr>
          <w:rFonts w:eastAsia="Times New Roman" w:cstheme="minorHAnsi"/>
          <w:b/>
          <w:bCs/>
          <w:sz w:val="22"/>
          <w:lang w:val="en-AU" w:eastAsia="en-AU"/>
        </w:rPr>
        <w:t>A.4 DEVELOPING UNSAFE SITUATION CODING SCHEME</w:t>
      </w:r>
    </w:p>
    <w:p w14:paraId="72010BEB" w14:textId="77777777" w:rsidR="00884712" w:rsidRDefault="00884712" w:rsidP="00884712">
      <w:p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Developing unsafe situations should be coded to support consistent categorisation and analysis. These codes align with the IMO VTS Guidelines and the examples provided in Section 3.3.7.</w:t>
      </w:r>
    </w:p>
    <w:tbl>
      <w:tblPr>
        <w:tblStyle w:val="TableGrid"/>
        <w:tblW w:w="0" w:type="auto"/>
        <w:tblLook w:val="04A0" w:firstRow="1" w:lastRow="0" w:firstColumn="1" w:lastColumn="0" w:noHBand="0" w:noVBand="1"/>
      </w:tblPr>
      <w:tblGrid>
        <w:gridCol w:w="846"/>
        <w:gridCol w:w="2693"/>
        <w:gridCol w:w="6656"/>
      </w:tblGrid>
      <w:tr w:rsidR="00884712" w14:paraId="1B23DBD0" w14:textId="77777777" w:rsidTr="0015219F">
        <w:tc>
          <w:tcPr>
            <w:tcW w:w="846" w:type="dxa"/>
            <w:shd w:val="clear" w:color="auto" w:fill="00B0F0"/>
            <w:vAlign w:val="top"/>
          </w:tcPr>
          <w:p w14:paraId="2D331A54" w14:textId="77777777" w:rsidR="00884712" w:rsidRPr="007E53DE" w:rsidRDefault="00884712" w:rsidP="0015219F">
            <w:pPr>
              <w:spacing w:before="100" w:beforeAutospacing="1" w:after="100" w:afterAutospacing="1"/>
              <w:jc w:val="center"/>
              <w:rPr>
                <w:rFonts w:eastAsia="Times New Roman" w:cstheme="minorHAnsi"/>
                <w:b/>
                <w:bCs/>
                <w:color w:val="FFFFFF" w:themeColor="background1"/>
                <w:sz w:val="20"/>
                <w:szCs w:val="20"/>
                <w:lang w:val="en-AU" w:eastAsia="en-AU"/>
              </w:rPr>
            </w:pPr>
            <w:r w:rsidRPr="007E53DE">
              <w:rPr>
                <w:b/>
                <w:bCs/>
                <w:color w:val="FFFFFF" w:themeColor="background1"/>
                <w:sz w:val="20"/>
                <w:szCs w:val="20"/>
              </w:rPr>
              <w:t>Code</w:t>
            </w:r>
          </w:p>
        </w:tc>
        <w:tc>
          <w:tcPr>
            <w:tcW w:w="2693" w:type="dxa"/>
            <w:shd w:val="clear" w:color="auto" w:fill="00B0F0"/>
            <w:vAlign w:val="top"/>
          </w:tcPr>
          <w:p w14:paraId="1C85C7FB" w14:textId="77777777" w:rsidR="00884712" w:rsidRPr="007E53DE" w:rsidRDefault="00884712" w:rsidP="0015219F">
            <w:pPr>
              <w:spacing w:before="100" w:beforeAutospacing="1" w:after="100" w:afterAutospacing="1"/>
              <w:jc w:val="center"/>
              <w:rPr>
                <w:rFonts w:eastAsia="Times New Roman" w:cstheme="minorHAnsi"/>
                <w:b/>
                <w:bCs/>
                <w:color w:val="FFFFFF" w:themeColor="background1"/>
                <w:sz w:val="20"/>
                <w:szCs w:val="20"/>
                <w:lang w:val="en-AU" w:eastAsia="en-AU"/>
              </w:rPr>
            </w:pPr>
            <w:r w:rsidRPr="007E53DE">
              <w:rPr>
                <w:b/>
                <w:bCs/>
                <w:color w:val="FFFFFF" w:themeColor="background1"/>
                <w:sz w:val="20"/>
                <w:szCs w:val="20"/>
              </w:rPr>
              <w:t>Situation Type</w:t>
            </w:r>
          </w:p>
        </w:tc>
        <w:tc>
          <w:tcPr>
            <w:tcW w:w="6656" w:type="dxa"/>
            <w:shd w:val="clear" w:color="auto" w:fill="00B0F0"/>
            <w:vAlign w:val="top"/>
          </w:tcPr>
          <w:p w14:paraId="5355BC41" w14:textId="77777777" w:rsidR="00884712" w:rsidRPr="007E53DE" w:rsidRDefault="00884712" w:rsidP="0015219F">
            <w:pPr>
              <w:spacing w:before="100" w:beforeAutospacing="1" w:after="100" w:afterAutospacing="1"/>
              <w:jc w:val="center"/>
              <w:rPr>
                <w:rFonts w:eastAsia="Times New Roman" w:cstheme="minorHAnsi"/>
                <w:b/>
                <w:bCs/>
                <w:color w:val="FFFFFF" w:themeColor="background1"/>
                <w:sz w:val="20"/>
                <w:szCs w:val="20"/>
                <w:lang w:val="en-AU" w:eastAsia="en-AU"/>
              </w:rPr>
            </w:pPr>
            <w:r w:rsidRPr="007E53DE">
              <w:rPr>
                <w:b/>
                <w:bCs/>
                <w:color w:val="FFFFFF" w:themeColor="background1"/>
                <w:sz w:val="20"/>
                <w:szCs w:val="20"/>
              </w:rPr>
              <w:t>Description</w:t>
            </w:r>
          </w:p>
        </w:tc>
      </w:tr>
      <w:tr w:rsidR="00884712" w14:paraId="1D8EDCC4" w14:textId="77777777" w:rsidTr="0015219F">
        <w:tc>
          <w:tcPr>
            <w:tcW w:w="846" w:type="dxa"/>
            <w:vAlign w:val="top"/>
          </w:tcPr>
          <w:p w14:paraId="49B47801"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DUS 01</w:t>
            </w:r>
          </w:p>
        </w:tc>
        <w:tc>
          <w:tcPr>
            <w:tcW w:w="2693" w:type="dxa"/>
            <w:vAlign w:val="top"/>
          </w:tcPr>
          <w:p w14:paraId="2B6C961B"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Route/position uncertainty</w:t>
            </w:r>
          </w:p>
        </w:tc>
        <w:tc>
          <w:tcPr>
            <w:tcW w:w="6656" w:type="dxa"/>
            <w:vAlign w:val="top"/>
          </w:tcPr>
          <w:p w14:paraId="7FC7582E"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Vessel unsure of its route or position.</w:t>
            </w:r>
          </w:p>
        </w:tc>
      </w:tr>
      <w:tr w:rsidR="00884712" w14:paraId="35237134" w14:textId="77777777" w:rsidTr="0015219F">
        <w:tc>
          <w:tcPr>
            <w:tcW w:w="846" w:type="dxa"/>
            <w:vAlign w:val="top"/>
          </w:tcPr>
          <w:p w14:paraId="0CB80F04"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DUS 02</w:t>
            </w:r>
          </w:p>
        </w:tc>
        <w:tc>
          <w:tcPr>
            <w:tcW w:w="2693" w:type="dxa"/>
            <w:vAlign w:val="top"/>
          </w:tcPr>
          <w:p w14:paraId="0C24CEB1"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Route deviation</w:t>
            </w:r>
          </w:p>
        </w:tc>
        <w:tc>
          <w:tcPr>
            <w:tcW w:w="6656" w:type="dxa"/>
            <w:vAlign w:val="top"/>
          </w:tcPr>
          <w:p w14:paraId="7B1A25A7"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Vessel deviating from the planned or expected route.</w:t>
            </w:r>
          </w:p>
        </w:tc>
      </w:tr>
      <w:tr w:rsidR="00884712" w14:paraId="5391A552" w14:textId="77777777" w:rsidTr="0015219F">
        <w:tc>
          <w:tcPr>
            <w:tcW w:w="846" w:type="dxa"/>
            <w:vAlign w:val="top"/>
          </w:tcPr>
          <w:p w14:paraId="2BBAA358"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DUS 03</w:t>
            </w:r>
          </w:p>
        </w:tc>
        <w:tc>
          <w:tcPr>
            <w:tcW w:w="2693" w:type="dxa"/>
            <w:vAlign w:val="top"/>
          </w:tcPr>
          <w:p w14:paraId="32193D70"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Missed waypoint</w:t>
            </w:r>
          </w:p>
        </w:tc>
        <w:tc>
          <w:tcPr>
            <w:tcW w:w="6656" w:type="dxa"/>
            <w:vAlign w:val="top"/>
          </w:tcPr>
          <w:p w14:paraId="0D56BCB2"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Vessel failing to alter course at a critical waypoint.</w:t>
            </w:r>
          </w:p>
        </w:tc>
      </w:tr>
      <w:tr w:rsidR="00884712" w14:paraId="11D7C597" w14:textId="77777777" w:rsidTr="0015219F">
        <w:tc>
          <w:tcPr>
            <w:tcW w:w="846" w:type="dxa"/>
            <w:vAlign w:val="top"/>
          </w:tcPr>
          <w:p w14:paraId="15801E86"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DUS 04</w:t>
            </w:r>
          </w:p>
        </w:tc>
        <w:tc>
          <w:tcPr>
            <w:tcW w:w="2693" w:type="dxa"/>
            <w:vAlign w:val="top"/>
          </w:tcPr>
          <w:p w14:paraId="6F1FA516"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Anchoring guidance required</w:t>
            </w:r>
          </w:p>
        </w:tc>
        <w:tc>
          <w:tcPr>
            <w:tcW w:w="6656" w:type="dxa"/>
            <w:vAlign w:val="top"/>
          </w:tcPr>
          <w:p w14:paraId="2C0D35DA"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Vessel requiring guidance to an anchoring position.</w:t>
            </w:r>
          </w:p>
        </w:tc>
      </w:tr>
      <w:tr w:rsidR="00884712" w14:paraId="78058EFA" w14:textId="77777777" w:rsidTr="0015219F">
        <w:tc>
          <w:tcPr>
            <w:tcW w:w="846" w:type="dxa"/>
            <w:vAlign w:val="top"/>
          </w:tcPr>
          <w:p w14:paraId="1DC3D9B8"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DUS 05</w:t>
            </w:r>
          </w:p>
        </w:tc>
        <w:tc>
          <w:tcPr>
            <w:tcW w:w="2693" w:type="dxa"/>
            <w:vAlign w:val="top"/>
          </w:tcPr>
          <w:p w14:paraId="7D843398"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Defects/deficiencies</w:t>
            </w:r>
          </w:p>
        </w:tc>
        <w:tc>
          <w:tcPr>
            <w:tcW w:w="6656" w:type="dxa"/>
            <w:vAlign w:val="top"/>
          </w:tcPr>
          <w:p w14:paraId="53BC408F"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Navigation, propulsion, steering or manoeuvring equipment failure.</w:t>
            </w:r>
          </w:p>
        </w:tc>
      </w:tr>
      <w:tr w:rsidR="00884712" w14:paraId="7D9807D0" w14:textId="77777777" w:rsidTr="0015219F">
        <w:tc>
          <w:tcPr>
            <w:tcW w:w="846" w:type="dxa"/>
            <w:vAlign w:val="top"/>
          </w:tcPr>
          <w:p w14:paraId="084B15A5"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DUS 06</w:t>
            </w:r>
          </w:p>
        </w:tc>
        <w:tc>
          <w:tcPr>
            <w:tcW w:w="2693" w:type="dxa"/>
            <w:vAlign w:val="top"/>
          </w:tcPr>
          <w:p w14:paraId="438A0221"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Risk of grounding</w:t>
            </w:r>
          </w:p>
        </w:tc>
        <w:tc>
          <w:tcPr>
            <w:tcW w:w="6656" w:type="dxa"/>
            <w:vAlign w:val="top"/>
          </w:tcPr>
          <w:p w14:paraId="208085C1"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Vessel operating in proximity to shallow water or hazards.</w:t>
            </w:r>
          </w:p>
        </w:tc>
      </w:tr>
      <w:tr w:rsidR="00884712" w14:paraId="5851475D" w14:textId="77777777" w:rsidTr="0015219F">
        <w:tc>
          <w:tcPr>
            <w:tcW w:w="846" w:type="dxa"/>
            <w:vAlign w:val="top"/>
          </w:tcPr>
          <w:p w14:paraId="4C70BA70"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DUS 07</w:t>
            </w:r>
          </w:p>
        </w:tc>
        <w:tc>
          <w:tcPr>
            <w:tcW w:w="2693" w:type="dxa"/>
            <w:vAlign w:val="top"/>
          </w:tcPr>
          <w:p w14:paraId="1BAD288A"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Risk of collision</w:t>
            </w:r>
          </w:p>
        </w:tc>
        <w:tc>
          <w:tcPr>
            <w:tcW w:w="6656" w:type="dxa"/>
            <w:vAlign w:val="top"/>
          </w:tcPr>
          <w:p w14:paraId="5CF90568"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Vessel operating in proximity to other vessels or structures.</w:t>
            </w:r>
          </w:p>
        </w:tc>
      </w:tr>
      <w:tr w:rsidR="00884712" w14:paraId="0B95C0B8" w14:textId="77777777" w:rsidTr="0015219F">
        <w:tc>
          <w:tcPr>
            <w:tcW w:w="846" w:type="dxa"/>
            <w:vAlign w:val="top"/>
          </w:tcPr>
          <w:p w14:paraId="412B99CB"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DUS 08</w:t>
            </w:r>
          </w:p>
        </w:tc>
        <w:tc>
          <w:tcPr>
            <w:tcW w:w="2693" w:type="dxa"/>
            <w:vAlign w:val="top"/>
          </w:tcPr>
          <w:p w14:paraId="40B7E6E0"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Emergency response</w:t>
            </w:r>
          </w:p>
        </w:tc>
        <w:tc>
          <w:tcPr>
            <w:tcW w:w="6656" w:type="dxa"/>
            <w:vAlign w:val="top"/>
          </w:tcPr>
          <w:p w14:paraId="6A20E8F4" w14:textId="77777777" w:rsidR="00884712" w:rsidRPr="007E53DE" w:rsidRDefault="00884712" w:rsidP="0015219F">
            <w:pPr>
              <w:spacing w:before="100" w:beforeAutospacing="1" w:after="100" w:afterAutospacing="1"/>
              <w:rPr>
                <w:rFonts w:eastAsia="Times New Roman" w:cstheme="minorHAnsi"/>
                <w:sz w:val="20"/>
                <w:szCs w:val="20"/>
                <w:lang w:val="en-AU" w:eastAsia="en-AU"/>
              </w:rPr>
            </w:pPr>
            <w:r w:rsidRPr="007E53DE">
              <w:rPr>
                <w:sz w:val="20"/>
                <w:szCs w:val="20"/>
              </w:rPr>
              <w:t>Fire, flooding, medical emergency, SAR or other urgent situations requiring coordination.</w:t>
            </w:r>
          </w:p>
        </w:tc>
      </w:tr>
    </w:tbl>
    <w:p w14:paraId="0B0F11C9"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Coding Principles</w:t>
      </w:r>
    </w:p>
    <w:p w14:paraId="5C2A15AC" w14:textId="77777777" w:rsidR="00884712" w:rsidRPr="002C4883" w:rsidRDefault="00884712" w:rsidP="00DA78AB">
      <w:pPr>
        <w:numPr>
          <w:ilvl w:val="0"/>
          <w:numId w:val="28"/>
        </w:numPr>
        <w:spacing w:before="120" w:after="120" w:line="240" w:lineRule="auto"/>
        <w:ind w:left="714" w:hanging="357"/>
        <w:rPr>
          <w:rFonts w:eastAsia="Times New Roman" w:cstheme="minorHAnsi"/>
          <w:sz w:val="22"/>
          <w:lang w:val="en-AU" w:eastAsia="en-AU"/>
        </w:rPr>
      </w:pPr>
      <w:r w:rsidRPr="002C4883">
        <w:rPr>
          <w:rFonts w:eastAsia="Times New Roman" w:cstheme="minorHAnsi"/>
          <w:sz w:val="22"/>
          <w:lang w:val="en-AU" w:eastAsia="en-AU"/>
        </w:rPr>
        <w:t>Codes should reflect the primary developing unsafe situation.</w:t>
      </w:r>
    </w:p>
    <w:p w14:paraId="558E5687" w14:textId="77777777" w:rsidR="00884712" w:rsidRPr="002C4883" w:rsidRDefault="00884712" w:rsidP="00DA78AB">
      <w:pPr>
        <w:numPr>
          <w:ilvl w:val="0"/>
          <w:numId w:val="28"/>
        </w:numPr>
        <w:spacing w:before="120" w:after="120" w:line="240" w:lineRule="auto"/>
        <w:ind w:left="714" w:hanging="357"/>
        <w:rPr>
          <w:rFonts w:eastAsia="Times New Roman" w:cstheme="minorHAnsi"/>
          <w:sz w:val="22"/>
          <w:lang w:val="en-AU" w:eastAsia="en-AU"/>
        </w:rPr>
      </w:pPr>
      <w:r w:rsidRPr="002C4883">
        <w:rPr>
          <w:rFonts w:eastAsia="Times New Roman" w:cstheme="minorHAnsi"/>
          <w:sz w:val="22"/>
          <w:lang w:val="en-AU" w:eastAsia="en-AU"/>
        </w:rPr>
        <w:t>Secondary or subsequent situations should also be recorded if relevant.</w:t>
      </w:r>
    </w:p>
    <w:p w14:paraId="509A5A39" w14:textId="77777777" w:rsidR="00884712" w:rsidRPr="002C4883" w:rsidRDefault="00884712" w:rsidP="00DA78AB">
      <w:pPr>
        <w:numPr>
          <w:ilvl w:val="0"/>
          <w:numId w:val="28"/>
        </w:numPr>
        <w:spacing w:before="120" w:after="120" w:line="240" w:lineRule="auto"/>
        <w:ind w:left="714" w:hanging="357"/>
        <w:rPr>
          <w:rFonts w:eastAsia="Times New Roman" w:cstheme="minorHAnsi"/>
          <w:sz w:val="22"/>
          <w:lang w:val="en-AU" w:eastAsia="en-AU"/>
        </w:rPr>
      </w:pPr>
      <w:r w:rsidRPr="002C4883">
        <w:rPr>
          <w:rFonts w:eastAsia="Times New Roman" w:cstheme="minorHAnsi"/>
          <w:sz w:val="22"/>
          <w:lang w:val="en-AU" w:eastAsia="en-AU"/>
        </w:rPr>
        <w:t>Codes support trend analysis and identification of recurring patterns.</w:t>
      </w:r>
    </w:p>
    <w:p w14:paraId="4C842D19" w14:textId="77777777" w:rsidR="00884712" w:rsidRPr="002C4883" w:rsidRDefault="00884712" w:rsidP="00DA78AB">
      <w:pPr>
        <w:numPr>
          <w:ilvl w:val="0"/>
          <w:numId w:val="28"/>
        </w:numPr>
        <w:spacing w:before="120" w:after="120" w:line="240" w:lineRule="auto"/>
        <w:ind w:left="714" w:hanging="357"/>
        <w:rPr>
          <w:rFonts w:eastAsia="Times New Roman" w:cstheme="minorHAnsi"/>
          <w:sz w:val="22"/>
          <w:lang w:val="en-AU" w:eastAsia="en-AU"/>
        </w:rPr>
      </w:pPr>
      <w:r w:rsidRPr="002C4883">
        <w:rPr>
          <w:rFonts w:eastAsia="Times New Roman" w:cstheme="minorHAnsi"/>
          <w:sz w:val="22"/>
          <w:lang w:val="en-AU" w:eastAsia="en-AU"/>
        </w:rPr>
        <w:t>Codes should be used consistently across all VTS sectors and operators.</w:t>
      </w:r>
    </w:p>
    <w:p w14:paraId="05C3039C" w14:textId="77777777" w:rsidR="00884712" w:rsidRPr="002C4883" w:rsidRDefault="00884712" w:rsidP="00884712">
      <w:pPr>
        <w:rPr>
          <w:rFonts w:eastAsia="Times New Roman" w:cstheme="minorHAnsi"/>
          <w:b/>
          <w:bCs/>
          <w:kern w:val="36"/>
          <w:sz w:val="22"/>
          <w:lang w:val="en-AU" w:eastAsia="en-AU"/>
        </w:rPr>
      </w:pPr>
      <w:r w:rsidRPr="002C4883">
        <w:rPr>
          <w:rFonts w:eastAsia="Times New Roman" w:cstheme="minorHAnsi"/>
          <w:b/>
          <w:bCs/>
          <w:kern w:val="36"/>
          <w:sz w:val="22"/>
          <w:lang w:val="en-AU" w:eastAsia="en-AU"/>
        </w:rPr>
        <w:br w:type="page"/>
      </w:r>
    </w:p>
    <w:p w14:paraId="256E1DE3" w14:textId="77777777" w:rsidR="00884712" w:rsidRPr="002C4883" w:rsidRDefault="00884712" w:rsidP="00884712">
      <w:pPr>
        <w:spacing w:before="100" w:beforeAutospacing="1" w:after="100" w:afterAutospacing="1" w:line="240" w:lineRule="auto"/>
        <w:jc w:val="right"/>
        <w:outlineLvl w:val="0"/>
        <w:rPr>
          <w:rFonts w:eastAsia="Times New Roman" w:cstheme="minorHAnsi"/>
          <w:b/>
          <w:bCs/>
          <w:kern w:val="36"/>
          <w:sz w:val="22"/>
          <w:lang w:val="en-AU" w:eastAsia="en-AU"/>
        </w:rPr>
      </w:pPr>
      <w:bookmarkStart w:id="68" w:name="_Toc235197798"/>
      <w:bookmarkStart w:id="69" w:name="_Toc238036144"/>
      <w:r w:rsidRPr="002C4883">
        <w:rPr>
          <w:rFonts w:eastAsia="Times New Roman" w:cstheme="minorHAnsi"/>
          <w:b/>
          <w:bCs/>
          <w:kern w:val="36"/>
          <w:sz w:val="22"/>
          <w:lang w:val="en-AU" w:eastAsia="en-AU"/>
        </w:rPr>
        <w:lastRenderedPageBreak/>
        <w:t>ANNEX B — WORKED EXAMPLE</w:t>
      </w:r>
      <w:bookmarkEnd w:id="68"/>
      <w:bookmarkEnd w:id="69"/>
    </w:p>
    <w:p w14:paraId="0C7D595F" w14:textId="77777777" w:rsidR="00884712" w:rsidRPr="002C4883" w:rsidRDefault="00884712" w:rsidP="00884712">
      <w:p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This Annex provides a worked example illustrating how a VTS centre may apply the methodology over a one</w:t>
      </w:r>
      <w:r w:rsidRPr="002C4883">
        <w:rPr>
          <w:rFonts w:ascii="Cambria Math" w:eastAsia="Times New Roman" w:hAnsi="Cambria Math" w:cs="Cambria Math"/>
          <w:sz w:val="22"/>
          <w:lang w:val="en-AU" w:eastAsia="en-AU"/>
        </w:rPr>
        <w:t>‑</w:t>
      </w:r>
      <w:r w:rsidRPr="002C4883">
        <w:rPr>
          <w:rFonts w:eastAsia="Times New Roman" w:cstheme="minorHAnsi"/>
          <w:sz w:val="22"/>
          <w:lang w:val="en-AU" w:eastAsia="en-AU"/>
        </w:rPr>
        <w:t>month period.</w:t>
      </w:r>
    </w:p>
    <w:p w14:paraId="3FDA4510" w14:textId="77777777" w:rsidR="00884712" w:rsidRDefault="00884712" w:rsidP="00884712">
      <w:pPr>
        <w:rPr>
          <w:rFonts w:cstheme="minorHAnsi"/>
          <w:b/>
          <w:bCs/>
          <w:sz w:val="22"/>
          <w:lang w:val="en-AU" w:eastAsia="en-AU"/>
        </w:rPr>
      </w:pPr>
      <w:r w:rsidRPr="002C4883">
        <w:rPr>
          <w:rFonts w:cstheme="minorHAnsi"/>
          <w:b/>
          <w:bCs/>
          <w:sz w:val="22"/>
          <w:lang w:val="en-AU" w:eastAsia="en-AU"/>
        </w:rPr>
        <w:t>B.1 Example: Summary of VTS Interactions — April 2026</w:t>
      </w:r>
    </w:p>
    <w:tbl>
      <w:tblPr>
        <w:tblStyle w:val="TableGrid"/>
        <w:tblW w:w="0" w:type="auto"/>
        <w:tblLook w:val="04A0" w:firstRow="1" w:lastRow="0" w:firstColumn="1" w:lastColumn="0" w:noHBand="0" w:noVBand="1"/>
      </w:tblPr>
      <w:tblGrid>
        <w:gridCol w:w="2039"/>
        <w:gridCol w:w="2039"/>
        <w:gridCol w:w="2039"/>
        <w:gridCol w:w="2039"/>
        <w:gridCol w:w="2039"/>
      </w:tblGrid>
      <w:tr w:rsidR="00884712" w:rsidRPr="00DF6957" w14:paraId="1CFD7F00" w14:textId="77777777" w:rsidTr="0015219F">
        <w:tc>
          <w:tcPr>
            <w:tcW w:w="2039" w:type="dxa"/>
            <w:shd w:val="clear" w:color="auto" w:fill="00B0F0"/>
            <w:vAlign w:val="top"/>
          </w:tcPr>
          <w:p w14:paraId="33984F74" w14:textId="77777777" w:rsidR="00884712" w:rsidRPr="00DF6957" w:rsidRDefault="00884712" w:rsidP="0015219F">
            <w:pPr>
              <w:jc w:val="center"/>
              <w:rPr>
                <w:rFonts w:cstheme="minorHAnsi"/>
                <w:b/>
                <w:bCs/>
                <w:color w:val="FFFFFF" w:themeColor="background1"/>
                <w:sz w:val="20"/>
                <w:szCs w:val="20"/>
                <w:lang w:val="en-AU" w:eastAsia="en-AU"/>
              </w:rPr>
            </w:pPr>
            <w:r w:rsidRPr="00DF6957">
              <w:rPr>
                <w:b/>
                <w:bCs/>
                <w:color w:val="FFFFFF" w:themeColor="background1"/>
                <w:sz w:val="20"/>
                <w:szCs w:val="20"/>
              </w:rPr>
              <w:t>Effective Date</w:t>
            </w:r>
          </w:p>
        </w:tc>
        <w:tc>
          <w:tcPr>
            <w:tcW w:w="2039" w:type="dxa"/>
            <w:shd w:val="clear" w:color="auto" w:fill="00B0F0"/>
            <w:vAlign w:val="top"/>
          </w:tcPr>
          <w:p w14:paraId="752CEA68" w14:textId="77777777" w:rsidR="00884712" w:rsidRPr="00DF6957" w:rsidRDefault="00884712" w:rsidP="0015219F">
            <w:pPr>
              <w:jc w:val="center"/>
              <w:rPr>
                <w:rFonts w:cstheme="minorHAnsi"/>
                <w:b/>
                <w:bCs/>
                <w:color w:val="FFFFFF" w:themeColor="background1"/>
                <w:sz w:val="20"/>
                <w:szCs w:val="20"/>
                <w:lang w:val="en-AU" w:eastAsia="en-AU"/>
              </w:rPr>
            </w:pPr>
            <w:r w:rsidRPr="00DF6957">
              <w:rPr>
                <w:b/>
                <w:bCs/>
                <w:color w:val="FFFFFF" w:themeColor="background1"/>
                <w:sz w:val="20"/>
                <w:szCs w:val="20"/>
              </w:rPr>
              <w:t>Measure Type</w:t>
            </w:r>
          </w:p>
        </w:tc>
        <w:tc>
          <w:tcPr>
            <w:tcW w:w="2039" w:type="dxa"/>
            <w:shd w:val="clear" w:color="auto" w:fill="00B0F0"/>
            <w:vAlign w:val="top"/>
          </w:tcPr>
          <w:p w14:paraId="57298CBE" w14:textId="77777777" w:rsidR="00884712" w:rsidRPr="00DF6957" w:rsidRDefault="00884712" w:rsidP="0015219F">
            <w:pPr>
              <w:jc w:val="center"/>
              <w:rPr>
                <w:rFonts w:cstheme="minorHAnsi"/>
                <w:b/>
                <w:bCs/>
                <w:color w:val="FFFFFF" w:themeColor="background1"/>
                <w:sz w:val="20"/>
                <w:szCs w:val="20"/>
                <w:lang w:val="en-AU" w:eastAsia="en-AU"/>
              </w:rPr>
            </w:pPr>
            <w:r w:rsidRPr="00DF6957">
              <w:rPr>
                <w:b/>
                <w:bCs/>
                <w:color w:val="FFFFFF" w:themeColor="background1"/>
                <w:sz w:val="20"/>
                <w:szCs w:val="20"/>
              </w:rPr>
              <w:t>Description</w:t>
            </w:r>
          </w:p>
        </w:tc>
        <w:tc>
          <w:tcPr>
            <w:tcW w:w="2039" w:type="dxa"/>
            <w:shd w:val="clear" w:color="auto" w:fill="00B0F0"/>
            <w:vAlign w:val="top"/>
          </w:tcPr>
          <w:p w14:paraId="700943B1" w14:textId="77777777" w:rsidR="00884712" w:rsidRPr="00DF6957" w:rsidRDefault="00884712" w:rsidP="0015219F">
            <w:pPr>
              <w:jc w:val="center"/>
              <w:rPr>
                <w:rFonts w:cstheme="minorHAnsi"/>
                <w:b/>
                <w:bCs/>
                <w:color w:val="FFFFFF" w:themeColor="background1"/>
                <w:sz w:val="20"/>
                <w:szCs w:val="20"/>
                <w:lang w:val="en-AU" w:eastAsia="en-AU"/>
              </w:rPr>
            </w:pPr>
            <w:r w:rsidRPr="00DF6957">
              <w:rPr>
                <w:b/>
                <w:bCs/>
                <w:color w:val="FFFFFF" w:themeColor="background1"/>
                <w:sz w:val="20"/>
                <w:szCs w:val="20"/>
              </w:rPr>
              <w:t>Area/Sector</w:t>
            </w:r>
          </w:p>
        </w:tc>
        <w:tc>
          <w:tcPr>
            <w:tcW w:w="2039" w:type="dxa"/>
            <w:shd w:val="clear" w:color="auto" w:fill="00B0F0"/>
            <w:vAlign w:val="top"/>
          </w:tcPr>
          <w:p w14:paraId="2E76C201" w14:textId="77777777" w:rsidR="00884712" w:rsidRPr="00DF6957" w:rsidRDefault="00884712" w:rsidP="0015219F">
            <w:pPr>
              <w:jc w:val="center"/>
              <w:rPr>
                <w:rFonts w:cstheme="minorHAnsi"/>
                <w:b/>
                <w:bCs/>
                <w:color w:val="FFFFFF" w:themeColor="background1"/>
                <w:sz w:val="20"/>
                <w:szCs w:val="20"/>
                <w:lang w:val="en-AU" w:eastAsia="en-AU"/>
              </w:rPr>
            </w:pPr>
            <w:r w:rsidRPr="00DF6957">
              <w:rPr>
                <w:b/>
                <w:bCs/>
                <w:color w:val="FFFFFF" w:themeColor="background1"/>
                <w:sz w:val="20"/>
                <w:szCs w:val="20"/>
              </w:rPr>
              <w:t>Notes</w:t>
            </w:r>
          </w:p>
        </w:tc>
      </w:tr>
      <w:tr w:rsidR="00884712" w:rsidRPr="00DF6957" w14:paraId="26124136" w14:textId="77777777" w:rsidTr="0015219F">
        <w:tc>
          <w:tcPr>
            <w:tcW w:w="2039" w:type="dxa"/>
            <w:vAlign w:val="top"/>
          </w:tcPr>
          <w:p w14:paraId="43FDE649" w14:textId="77777777" w:rsidR="00884712" w:rsidRPr="00DF6957" w:rsidRDefault="00884712" w:rsidP="0015219F">
            <w:pPr>
              <w:rPr>
                <w:rFonts w:cstheme="minorHAnsi"/>
                <w:b/>
                <w:bCs/>
                <w:sz w:val="20"/>
                <w:szCs w:val="20"/>
                <w:lang w:val="en-AU" w:eastAsia="en-AU"/>
              </w:rPr>
            </w:pPr>
            <w:r w:rsidRPr="00DF6957">
              <w:rPr>
                <w:sz w:val="20"/>
                <w:szCs w:val="20"/>
              </w:rPr>
              <w:t>2026 04 01</w:t>
            </w:r>
          </w:p>
        </w:tc>
        <w:tc>
          <w:tcPr>
            <w:tcW w:w="2039" w:type="dxa"/>
            <w:vAlign w:val="top"/>
          </w:tcPr>
          <w:p w14:paraId="7E785CB3" w14:textId="77777777" w:rsidR="00884712" w:rsidRPr="00DF6957" w:rsidRDefault="00884712" w:rsidP="0015219F">
            <w:pPr>
              <w:rPr>
                <w:rFonts w:cstheme="minorHAnsi"/>
                <w:b/>
                <w:bCs/>
                <w:sz w:val="20"/>
                <w:szCs w:val="20"/>
                <w:lang w:val="en-AU" w:eastAsia="en-AU"/>
              </w:rPr>
            </w:pPr>
            <w:r w:rsidRPr="00DF6957">
              <w:rPr>
                <w:sz w:val="20"/>
                <w:szCs w:val="20"/>
              </w:rPr>
              <w:t>Pilotage Procedure</w:t>
            </w:r>
          </w:p>
        </w:tc>
        <w:tc>
          <w:tcPr>
            <w:tcW w:w="2039" w:type="dxa"/>
            <w:vAlign w:val="top"/>
          </w:tcPr>
          <w:p w14:paraId="6A894B97" w14:textId="77777777" w:rsidR="00884712" w:rsidRPr="00DF6957" w:rsidRDefault="00884712" w:rsidP="0015219F">
            <w:pPr>
              <w:rPr>
                <w:rFonts w:cstheme="minorHAnsi"/>
                <w:b/>
                <w:bCs/>
                <w:sz w:val="20"/>
                <w:szCs w:val="20"/>
                <w:lang w:val="en-AU" w:eastAsia="en-AU"/>
              </w:rPr>
            </w:pPr>
            <w:r w:rsidRPr="00DF6957">
              <w:rPr>
                <w:sz w:val="20"/>
                <w:szCs w:val="20"/>
              </w:rPr>
              <w:t>Revised pilot boarding arrangements</w:t>
            </w:r>
          </w:p>
        </w:tc>
        <w:tc>
          <w:tcPr>
            <w:tcW w:w="2039" w:type="dxa"/>
            <w:vAlign w:val="top"/>
          </w:tcPr>
          <w:p w14:paraId="3025D6C5" w14:textId="77777777" w:rsidR="00884712" w:rsidRPr="00DF6957" w:rsidRDefault="00884712" w:rsidP="0015219F">
            <w:pPr>
              <w:rPr>
                <w:rFonts w:cstheme="minorHAnsi"/>
                <w:b/>
                <w:bCs/>
                <w:sz w:val="20"/>
                <w:szCs w:val="20"/>
                <w:lang w:val="en-AU" w:eastAsia="en-AU"/>
              </w:rPr>
            </w:pPr>
            <w:r w:rsidRPr="00DF6957">
              <w:rPr>
                <w:sz w:val="20"/>
                <w:szCs w:val="20"/>
              </w:rPr>
              <w:t>Sector 2</w:t>
            </w:r>
          </w:p>
        </w:tc>
        <w:tc>
          <w:tcPr>
            <w:tcW w:w="2039" w:type="dxa"/>
            <w:vAlign w:val="top"/>
          </w:tcPr>
          <w:p w14:paraId="36AD0129" w14:textId="77777777" w:rsidR="00884712" w:rsidRPr="00DF6957" w:rsidRDefault="00884712" w:rsidP="0015219F">
            <w:pPr>
              <w:rPr>
                <w:rFonts w:cstheme="minorHAnsi"/>
                <w:b/>
                <w:bCs/>
                <w:sz w:val="20"/>
                <w:szCs w:val="20"/>
                <w:lang w:val="en-AU" w:eastAsia="en-AU"/>
              </w:rPr>
            </w:pPr>
            <w:r w:rsidRPr="00DF6957">
              <w:rPr>
                <w:sz w:val="20"/>
                <w:szCs w:val="20"/>
              </w:rPr>
              <w:t>Implemented following consultation with pilots</w:t>
            </w:r>
          </w:p>
        </w:tc>
      </w:tr>
      <w:tr w:rsidR="00884712" w:rsidRPr="00DF6957" w14:paraId="142106EE" w14:textId="77777777" w:rsidTr="0015219F">
        <w:tc>
          <w:tcPr>
            <w:tcW w:w="2039" w:type="dxa"/>
            <w:vAlign w:val="top"/>
          </w:tcPr>
          <w:p w14:paraId="255C7AC1" w14:textId="77777777" w:rsidR="00884712" w:rsidRPr="00DF6957" w:rsidRDefault="00884712" w:rsidP="0015219F">
            <w:pPr>
              <w:rPr>
                <w:rFonts w:cstheme="minorHAnsi"/>
                <w:b/>
                <w:bCs/>
                <w:sz w:val="20"/>
                <w:szCs w:val="20"/>
                <w:lang w:val="en-AU" w:eastAsia="en-AU"/>
              </w:rPr>
            </w:pPr>
            <w:r w:rsidRPr="00DF6957">
              <w:rPr>
                <w:sz w:val="20"/>
                <w:szCs w:val="20"/>
              </w:rPr>
              <w:t>2026 04 10</w:t>
            </w:r>
          </w:p>
        </w:tc>
        <w:tc>
          <w:tcPr>
            <w:tcW w:w="2039" w:type="dxa"/>
            <w:vAlign w:val="top"/>
          </w:tcPr>
          <w:p w14:paraId="67DDF230" w14:textId="77777777" w:rsidR="00884712" w:rsidRPr="00DF6957" w:rsidRDefault="00884712" w:rsidP="0015219F">
            <w:pPr>
              <w:rPr>
                <w:rFonts w:cstheme="minorHAnsi"/>
                <w:b/>
                <w:bCs/>
                <w:sz w:val="20"/>
                <w:szCs w:val="20"/>
                <w:lang w:val="en-AU" w:eastAsia="en-AU"/>
              </w:rPr>
            </w:pPr>
            <w:r w:rsidRPr="00DF6957">
              <w:rPr>
                <w:sz w:val="20"/>
                <w:szCs w:val="20"/>
              </w:rPr>
              <w:t>Chart Correction</w:t>
            </w:r>
          </w:p>
        </w:tc>
        <w:tc>
          <w:tcPr>
            <w:tcW w:w="2039" w:type="dxa"/>
            <w:vAlign w:val="top"/>
          </w:tcPr>
          <w:p w14:paraId="48A0FE7E" w14:textId="77777777" w:rsidR="00884712" w:rsidRPr="00DF6957" w:rsidRDefault="00884712" w:rsidP="0015219F">
            <w:pPr>
              <w:rPr>
                <w:rFonts w:cstheme="minorHAnsi"/>
                <w:b/>
                <w:bCs/>
                <w:sz w:val="20"/>
                <w:szCs w:val="20"/>
                <w:lang w:val="en-AU" w:eastAsia="en-AU"/>
              </w:rPr>
            </w:pPr>
            <w:r w:rsidRPr="00DF6957">
              <w:rPr>
                <w:sz w:val="20"/>
                <w:szCs w:val="20"/>
              </w:rPr>
              <w:t>Updated hydrographic information published</w:t>
            </w:r>
          </w:p>
        </w:tc>
        <w:tc>
          <w:tcPr>
            <w:tcW w:w="2039" w:type="dxa"/>
            <w:vAlign w:val="top"/>
          </w:tcPr>
          <w:p w14:paraId="6350068E" w14:textId="77777777" w:rsidR="00884712" w:rsidRPr="00DF6957" w:rsidRDefault="00884712" w:rsidP="0015219F">
            <w:pPr>
              <w:rPr>
                <w:rFonts w:cstheme="minorHAnsi"/>
                <w:b/>
                <w:bCs/>
                <w:sz w:val="20"/>
                <w:szCs w:val="20"/>
                <w:lang w:val="en-AU" w:eastAsia="en-AU"/>
              </w:rPr>
            </w:pPr>
            <w:r w:rsidRPr="00DF6957">
              <w:rPr>
                <w:sz w:val="20"/>
                <w:szCs w:val="20"/>
              </w:rPr>
              <w:t>Sector 1</w:t>
            </w:r>
          </w:p>
        </w:tc>
        <w:tc>
          <w:tcPr>
            <w:tcW w:w="2039" w:type="dxa"/>
            <w:vAlign w:val="top"/>
          </w:tcPr>
          <w:p w14:paraId="10186D2D" w14:textId="77777777" w:rsidR="00884712" w:rsidRPr="00DF6957" w:rsidRDefault="00884712" w:rsidP="0015219F">
            <w:pPr>
              <w:rPr>
                <w:rFonts w:cstheme="minorHAnsi"/>
                <w:b/>
                <w:bCs/>
                <w:sz w:val="20"/>
                <w:szCs w:val="20"/>
                <w:lang w:val="en-AU" w:eastAsia="en-AU"/>
              </w:rPr>
            </w:pPr>
            <w:r w:rsidRPr="00DF6957">
              <w:rPr>
                <w:sz w:val="20"/>
                <w:szCs w:val="20"/>
              </w:rPr>
              <w:t>Included new depth contours</w:t>
            </w:r>
          </w:p>
        </w:tc>
      </w:tr>
      <w:tr w:rsidR="00884712" w:rsidRPr="00DF6957" w14:paraId="3F407ED2" w14:textId="77777777" w:rsidTr="0015219F">
        <w:tc>
          <w:tcPr>
            <w:tcW w:w="2039" w:type="dxa"/>
            <w:vAlign w:val="top"/>
          </w:tcPr>
          <w:p w14:paraId="5213990C" w14:textId="77777777" w:rsidR="00884712" w:rsidRPr="00DF6957" w:rsidRDefault="00884712" w:rsidP="0015219F">
            <w:pPr>
              <w:rPr>
                <w:rFonts w:cstheme="minorHAnsi"/>
                <w:b/>
                <w:bCs/>
                <w:sz w:val="20"/>
                <w:szCs w:val="20"/>
                <w:lang w:val="en-AU" w:eastAsia="en-AU"/>
              </w:rPr>
            </w:pPr>
            <w:r w:rsidRPr="00DF6957">
              <w:rPr>
                <w:sz w:val="20"/>
                <w:szCs w:val="20"/>
              </w:rPr>
              <w:t>2026 04 20</w:t>
            </w:r>
          </w:p>
        </w:tc>
        <w:tc>
          <w:tcPr>
            <w:tcW w:w="2039" w:type="dxa"/>
            <w:vAlign w:val="top"/>
          </w:tcPr>
          <w:p w14:paraId="54E3513A" w14:textId="77777777" w:rsidR="00884712" w:rsidRPr="00DF6957" w:rsidRDefault="00884712" w:rsidP="0015219F">
            <w:pPr>
              <w:rPr>
                <w:rFonts w:cstheme="minorHAnsi"/>
                <w:b/>
                <w:bCs/>
                <w:sz w:val="20"/>
                <w:szCs w:val="20"/>
                <w:lang w:val="en-AU" w:eastAsia="en-AU"/>
              </w:rPr>
            </w:pPr>
            <w:r w:rsidRPr="00DF6957">
              <w:rPr>
                <w:sz w:val="20"/>
                <w:szCs w:val="20"/>
              </w:rPr>
              <w:t>DST Upgrade</w:t>
            </w:r>
          </w:p>
        </w:tc>
        <w:tc>
          <w:tcPr>
            <w:tcW w:w="2039" w:type="dxa"/>
            <w:vAlign w:val="top"/>
          </w:tcPr>
          <w:p w14:paraId="2FAFFF2E" w14:textId="77777777" w:rsidR="00884712" w:rsidRPr="00DF6957" w:rsidRDefault="00884712" w:rsidP="0015219F">
            <w:pPr>
              <w:rPr>
                <w:rFonts w:cstheme="minorHAnsi"/>
                <w:b/>
                <w:bCs/>
                <w:sz w:val="20"/>
                <w:szCs w:val="20"/>
                <w:lang w:val="en-AU" w:eastAsia="en-AU"/>
              </w:rPr>
            </w:pPr>
            <w:r w:rsidRPr="00DF6957">
              <w:rPr>
                <w:sz w:val="20"/>
                <w:szCs w:val="20"/>
              </w:rPr>
              <w:t>Enhanced traffic prediction module deployed</w:t>
            </w:r>
          </w:p>
        </w:tc>
        <w:tc>
          <w:tcPr>
            <w:tcW w:w="2039" w:type="dxa"/>
            <w:vAlign w:val="top"/>
          </w:tcPr>
          <w:p w14:paraId="0DDD4AC6" w14:textId="77777777" w:rsidR="00884712" w:rsidRPr="00DF6957" w:rsidRDefault="00884712" w:rsidP="0015219F">
            <w:pPr>
              <w:rPr>
                <w:rFonts w:cstheme="minorHAnsi"/>
                <w:b/>
                <w:bCs/>
                <w:sz w:val="20"/>
                <w:szCs w:val="20"/>
                <w:lang w:val="en-AU" w:eastAsia="en-AU"/>
              </w:rPr>
            </w:pPr>
            <w:r w:rsidRPr="00DF6957">
              <w:rPr>
                <w:sz w:val="20"/>
                <w:szCs w:val="20"/>
              </w:rPr>
              <w:t>All sectors</w:t>
            </w:r>
          </w:p>
        </w:tc>
        <w:tc>
          <w:tcPr>
            <w:tcW w:w="2039" w:type="dxa"/>
            <w:vAlign w:val="top"/>
          </w:tcPr>
          <w:p w14:paraId="7D8A5735" w14:textId="77777777" w:rsidR="00884712" w:rsidRPr="00DF6957" w:rsidRDefault="00884712" w:rsidP="0015219F">
            <w:pPr>
              <w:rPr>
                <w:rFonts w:cstheme="minorHAnsi"/>
                <w:b/>
                <w:bCs/>
                <w:sz w:val="20"/>
                <w:szCs w:val="20"/>
                <w:lang w:val="en-AU" w:eastAsia="en-AU"/>
              </w:rPr>
            </w:pPr>
            <w:r w:rsidRPr="00DF6957">
              <w:rPr>
                <w:sz w:val="20"/>
                <w:szCs w:val="20"/>
              </w:rPr>
              <w:t>Operator training completed</w:t>
            </w:r>
          </w:p>
        </w:tc>
      </w:tr>
    </w:tbl>
    <w:p w14:paraId="284E0DCA"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Interpretation</w:t>
      </w:r>
    </w:p>
    <w:p w14:paraId="5573CD82" w14:textId="77777777" w:rsidR="00884712" w:rsidRPr="002C4883" w:rsidRDefault="00884712" w:rsidP="00884712">
      <w:p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Across the month:</w:t>
      </w:r>
    </w:p>
    <w:p w14:paraId="569FC6DF" w14:textId="77777777" w:rsidR="00884712" w:rsidRPr="002C4883" w:rsidRDefault="00884712" w:rsidP="00DA78AB">
      <w:pPr>
        <w:numPr>
          <w:ilvl w:val="0"/>
          <w:numId w:val="29"/>
        </w:num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Six developing unsafe situations were recorded.</w:t>
      </w:r>
    </w:p>
    <w:p w14:paraId="4A9D4043" w14:textId="77777777" w:rsidR="00884712" w:rsidRPr="002C4883" w:rsidRDefault="00884712" w:rsidP="00DA78AB">
      <w:pPr>
        <w:numPr>
          <w:ilvl w:val="0"/>
          <w:numId w:val="29"/>
        </w:num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Five were mitigated through VTS interaction.</w:t>
      </w:r>
    </w:p>
    <w:p w14:paraId="0DB72FB9" w14:textId="77777777" w:rsidR="00884712" w:rsidRPr="002C4883" w:rsidRDefault="00884712" w:rsidP="00DA78AB">
      <w:pPr>
        <w:numPr>
          <w:ilvl w:val="0"/>
          <w:numId w:val="29"/>
        </w:num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Three coincided with the introduction or revision of other safety measures.</w:t>
      </w:r>
    </w:p>
    <w:p w14:paraId="47AE7677" w14:textId="77777777" w:rsidR="00884712" w:rsidRPr="002C4883" w:rsidRDefault="00884712" w:rsidP="00DA78AB">
      <w:pPr>
        <w:numPr>
          <w:ilvl w:val="0"/>
          <w:numId w:val="29"/>
        </w:num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Two involved escalations from advice to warning or instruction.</w:t>
      </w:r>
    </w:p>
    <w:p w14:paraId="0B039E28"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 xml:space="preserve">The </w:t>
      </w:r>
      <w:r w:rsidRPr="00DF6957">
        <w:rPr>
          <w:rFonts w:eastAsia="Times New Roman" w:cstheme="minorHAnsi"/>
          <w:sz w:val="22"/>
          <w:lang w:val="en-AU" w:eastAsia="en-AU"/>
        </w:rPr>
        <w:t>separate datasets</w:t>
      </w:r>
      <w:r w:rsidRPr="002C4883">
        <w:rPr>
          <w:rFonts w:eastAsia="Times New Roman" w:cstheme="minorHAnsi"/>
          <w:sz w:val="22"/>
          <w:lang w:val="en-AU" w:eastAsia="en-AU"/>
        </w:rPr>
        <w:t xml:space="preserve"> make it easier to:</w:t>
      </w:r>
    </w:p>
    <w:p w14:paraId="24D71FBA" w14:textId="77777777" w:rsidR="00884712" w:rsidRPr="002C4883" w:rsidRDefault="00884712" w:rsidP="00DA78AB">
      <w:pPr>
        <w:numPr>
          <w:ilvl w:val="0"/>
          <w:numId w:val="32"/>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analyse VTS interactions independently,</w:t>
      </w:r>
    </w:p>
    <w:p w14:paraId="6BE8E913" w14:textId="77777777" w:rsidR="00884712" w:rsidRPr="002C4883" w:rsidRDefault="00884712" w:rsidP="00DA78AB">
      <w:pPr>
        <w:numPr>
          <w:ilvl w:val="0"/>
          <w:numId w:val="32"/>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interpret trends in context,</w:t>
      </w:r>
    </w:p>
    <w:p w14:paraId="61427B2E" w14:textId="77777777" w:rsidR="00884712" w:rsidRPr="002C4883" w:rsidRDefault="00884712" w:rsidP="00DA78AB">
      <w:pPr>
        <w:numPr>
          <w:ilvl w:val="0"/>
          <w:numId w:val="32"/>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identify correlations between system changes and vessel behaviour.</w:t>
      </w:r>
    </w:p>
    <w:p w14:paraId="4E7C8886" w14:textId="77777777" w:rsidR="00884712" w:rsidRDefault="00884712" w:rsidP="00884712">
      <w:pPr>
        <w:rPr>
          <w:rFonts w:cstheme="minorHAnsi"/>
          <w:b/>
          <w:bCs/>
          <w:sz w:val="22"/>
          <w:lang w:val="en-AU" w:eastAsia="en-AU"/>
        </w:rPr>
      </w:pPr>
      <w:r w:rsidRPr="002C4883">
        <w:rPr>
          <w:rFonts w:cstheme="minorHAnsi"/>
          <w:b/>
          <w:bCs/>
          <w:sz w:val="22"/>
          <w:lang w:val="en-AU" w:eastAsia="en-AU"/>
        </w:rPr>
        <w:t>B.2 Other Measures Dataset — April 2026</w:t>
      </w:r>
    </w:p>
    <w:tbl>
      <w:tblPr>
        <w:tblStyle w:val="TableGrid"/>
        <w:tblW w:w="0" w:type="auto"/>
        <w:tblLook w:val="04A0" w:firstRow="1" w:lastRow="0" w:firstColumn="1" w:lastColumn="0" w:noHBand="0" w:noVBand="1"/>
      </w:tblPr>
      <w:tblGrid>
        <w:gridCol w:w="1401"/>
        <w:gridCol w:w="1961"/>
        <w:gridCol w:w="2685"/>
        <w:gridCol w:w="1221"/>
        <w:gridCol w:w="2927"/>
      </w:tblGrid>
      <w:tr w:rsidR="00884712" w14:paraId="4A6B829F" w14:textId="77777777" w:rsidTr="0015219F">
        <w:tc>
          <w:tcPr>
            <w:tcW w:w="1413" w:type="dxa"/>
            <w:shd w:val="clear" w:color="auto" w:fill="00B0F0"/>
            <w:vAlign w:val="top"/>
          </w:tcPr>
          <w:p w14:paraId="1A8E5D57" w14:textId="77777777" w:rsidR="00884712" w:rsidRPr="00BC1ACA" w:rsidRDefault="00884712" w:rsidP="0015219F">
            <w:pPr>
              <w:jc w:val="center"/>
              <w:rPr>
                <w:rFonts w:cstheme="minorHAnsi"/>
                <w:b/>
                <w:bCs/>
                <w:color w:val="FFFFFF" w:themeColor="background1"/>
                <w:sz w:val="20"/>
                <w:szCs w:val="20"/>
                <w:lang w:val="en-AU" w:eastAsia="en-AU"/>
              </w:rPr>
            </w:pPr>
            <w:r w:rsidRPr="00BC1ACA">
              <w:rPr>
                <w:b/>
                <w:bCs/>
                <w:color w:val="FFFFFF" w:themeColor="background1"/>
                <w:sz w:val="20"/>
                <w:szCs w:val="20"/>
              </w:rPr>
              <w:t>Effective Date</w:t>
            </w:r>
          </w:p>
        </w:tc>
        <w:tc>
          <w:tcPr>
            <w:tcW w:w="1984" w:type="dxa"/>
            <w:shd w:val="clear" w:color="auto" w:fill="00B0F0"/>
            <w:vAlign w:val="top"/>
          </w:tcPr>
          <w:p w14:paraId="629F9238" w14:textId="77777777" w:rsidR="00884712" w:rsidRPr="00BC1ACA" w:rsidRDefault="00884712" w:rsidP="0015219F">
            <w:pPr>
              <w:jc w:val="center"/>
              <w:rPr>
                <w:rFonts w:cstheme="minorHAnsi"/>
                <w:b/>
                <w:bCs/>
                <w:color w:val="FFFFFF" w:themeColor="background1"/>
                <w:sz w:val="20"/>
                <w:szCs w:val="20"/>
                <w:lang w:val="en-AU" w:eastAsia="en-AU"/>
              </w:rPr>
            </w:pPr>
            <w:r w:rsidRPr="00BC1ACA">
              <w:rPr>
                <w:b/>
                <w:bCs/>
                <w:color w:val="FFFFFF" w:themeColor="background1"/>
                <w:sz w:val="20"/>
                <w:szCs w:val="20"/>
              </w:rPr>
              <w:t>Measure Type</w:t>
            </w:r>
          </w:p>
        </w:tc>
        <w:tc>
          <w:tcPr>
            <w:tcW w:w="2720" w:type="dxa"/>
            <w:shd w:val="clear" w:color="auto" w:fill="00B0F0"/>
            <w:vAlign w:val="top"/>
          </w:tcPr>
          <w:p w14:paraId="1EB9505A" w14:textId="77777777" w:rsidR="00884712" w:rsidRPr="00BC1ACA" w:rsidRDefault="00884712" w:rsidP="0015219F">
            <w:pPr>
              <w:jc w:val="center"/>
              <w:rPr>
                <w:rFonts w:cstheme="minorHAnsi"/>
                <w:b/>
                <w:bCs/>
                <w:color w:val="FFFFFF" w:themeColor="background1"/>
                <w:sz w:val="20"/>
                <w:szCs w:val="20"/>
                <w:lang w:val="en-AU" w:eastAsia="en-AU"/>
              </w:rPr>
            </w:pPr>
            <w:r w:rsidRPr="00BC1ACA">
              <w:rPr>
                <w:b/>
                <w:bCs/>
                <w:color w:val="FFFFFF" w:themeColor="background1"/>
                <w:sz w:val="20"/>
                <w:szCs w:val="20"/>
              </w:rPr>
              <w:t>Description</w:t>
            </w:r>
          </w:p>
        </w:tc>
        <w:tc>
          <w:tcPr>
            <w:tcW w:w="1108" w:type="dxa"/>
            <w:shd w:val="clear" w:color="auto" w:fill="00B0F0"/>
            <w:vAlign w:val="top"/>
          </w:tcPr>
          <w:p w14:paraId="464C56A6" w14:textId="77777777" w:rsidR="00884712" w:rsidRPr="00BC1ACA" w:rsidRDefault="00884712" w:rsidP="0015219F">
            <w:pPr>
              <w:jc w:val="center"/>
              <w:rPr>
                <w:rFonts w:cstheme="minorHAnsi"/>
                <w:b/>
                <w:bCs/>
                <w:color w:val="FFFFFF" w:themeColor="background1"/>
                <w:sz w:val="20"/>
                <w:szCs w:val="20"/>
                <w:lang w:val="en-AU" w:eastAsia="en-AU"/>
              </w:rPr>
            </w:pPr>
            <w:r w:rsidRPr="00BC1ACA">
              <w:rPr>
                <w:b/>
                <w:bCs/>
                <w:color w:val="FFFFFF" w:themeColor="background1"/>
                <w:sz w:val="20"/>
                <w:szCs w:val="20"/>
              </w:rPr>
              <w:t>Area/Sector</w:t>
            </w:r>
          </w:p>
        </w:tc>
        <w:tc>
          <w:tcPr>
            <w:tcW w:w="2970" w:type="dxa"/>
            <w:shd w:val="clear" w:color="auto" w:fill="00B0F0"/>
            <w:vAlign w:val="top"/>
          </w:tcPr>
          <w:p w14:paraId="79A502DB" w14:textId="77777777" w:rsidR="00884712" w:rsidRPr="00BC1ACA" w:rsidRDefault="00884712" w:rsidP="0015219F">
            <w:pPr>
              <w:jc w:val="center"/>
              <w:rPr>
                <w:rFonts w:cstheme="minorHAnsi"/>
                <w:b/>
                <w:bCs/>
                <w:color w:val="FFFFFF" w:themeColor="background1"/>
                <w:sz w:val="20"/>
                <w:szCs w:val="20"/>
                <w:lang w:val="en-AU" w:eastAsia="en-AU"/>
              </w:rPr>
            </w:pPr>
            <w:r w:rsidRPr="00BC1ACA">
              <w:rPr>
                <w:b/>
                <w:bCs/>
                <w:color w:val="FFFFFF" w:themeColor="background1"/>
                <w:sz w:val="20"/>
                <w:szCs w:val="20"/>
              </w:rPr>
              <w:t>Notes</w:t>
            </w:r>
          </w:p>
        </w:tc>
      </w:tr>
      <w:tr w:rsidR="00884712" w14:paraId="72B3D9DA" w14:textId="77777777" w:rsidTr="0015219F">
        <w:tc>
          <w:tcPr>
            <w:tcW w:w="1413" w:type="dxa"/>
            <w:vAlign w:val="top"/>
          </w:tcPr>
          <w:p w14:paraId="197ED95E" w14:textId="77777777" w:rsidR="00884712" w:rsidRPr="00BC1ACA" w:rsidRDefault="00884712" w:rsidP="0015219F">
            <w:pPr>
              <w:rPr>
                <w:rFonts w:cstheme="minorHAnsi"/>
                <w:b/>
                <w:bCs/>
                <w:sz w:val="20"/>
                <w:szCs w:val="20"/>
                <w:lang w:val="en-AU" w:eastAsia="en-AU"/>
              </w:rPr>
            </w:pPr>
            <w:r w:rsidRPr="00BC1ACA">
              <w:rPr>
                <w:sz w:val="20"/>
                <w:szCs w:val="20"/>
              </w:rPr>
              <w:t>2026 04 01</w:t>
            </w:r>
          </w:p>
        </w:tc>
        <w:tc>
          <w:tcPr>
            <w:tcW w:w="1984" w:type="dxa"/>
            <w:vAlign w:val="top"/>
          </w:tcPr>
          <w:p w14:paraId="3265A931" w14:textId="77777777" w:rsidR="00884712" w:rsidRPr="00BC1ACA" w:rsidRDefault="00884712" w:rsidP="0015219F">
            <w:pPr>
              <w:rPr>
                <w:rFonts w:cstheme="minorHAnsi"/>
                <w:b/>
                <w:bCs/>
                <w:sz w:val="20"/>
                <w:szCs w:val="20"/>
                <w:lang w:val="en-AU" w:eastAsia="en-AU"/>
              </w:rPr>
            </w:pPr>
            <w:r w:rsidRPr="00BC1ACA">
              <w:rPr>
                <w:sz w:val="20"/>
                <w:szCs w:val="20"/>
              </w:rPr>
              <w:t>Pilotage Procedure</w:t>
            </w:r>
          </w:p>
        </w:tc>
        <w:tc>
          <w:tcPr>
            <w:tcW w:w="2720" w:type="dxa"/>
            <w:vAlign w:val="top"/>
          </w:tcPr>
          <w:p w14:paraId="01187F91" w14:textId="77777777" w:rsidR="00884712" w:rsidRPr="00BC1ACA" w:rsidRDefault="00884712" w:rsidP="0015219F">
            <w:pPr>
              <w:rPr>
                <w:rFonts w:cstheme="minorHAnsi"/>
                <w:b/>
                <w:bCs/>
                <w:sz w:val="20"/>
                <w:szCs w:val="20"/>
                <w:lang w:val="en-AU" w:eastAsia="en-AU"/>
              </w:rPr>
            </w:pPr>
            <w:r w:rsidRPr="00BC1ACA">
              <w:rPr>
                <w:sz w:val="20"/>
                <w:szCs w:val="20"/>
              </w:rPr>
              <w:t>Revised pilot boarding arrangements</w:t>
            </w:r>
          </w:p>
        </w:tc>
        <w:tc>
          <w:tcPr>
            <w:tcW w:w="1108" w:type="dxa"/>
            <w:vAlign w:val="top"/>
          </w:tcPr>
          <w:p w14:paraId="23E28B16" w14:textId="77777777" w:rsidR="00884712" w:rsidRPr="00BC1ACA" w:rsidRDefault="00884712" w:rsidP="0015219F">
            <w:pPr>
              <w:rPr>
                <w:rFonts w:cstheme="minorHAnsi"/>
                <w:b/>
                <w:bCs/>
                <w:sz w:val="20"/>
                <w:szCs w:val="20"/>
                <w:lang w:val="en-AU" w:eastAsia="en-AU"/>
              </w:rPr>
            </w:pPr>
            <w:r w:rsidRPr="00BC1ACA">
              <w:rPr>
                <w:sz w:val="20"/>
                <w:szCs w:val="20"/>
              </w:rPr>
              <w:t>Sector 2</w:t>
            </w:r>
          </w:p>
        </w:tc>
        <w:tc>
          <w:tcPr>
            <w:tcW w:w="2970" w:type="dxa"/>
            <w:vAlign w:val="top"/>
          </w:tcPr>
          <w:p w14:paraId="44FE8151" w14:textId="77777777" w:rsidR="00884712" w:rsidRPr="00BC1ACA" w:rsidRDefault="00884712" w:rsidP="0015219F">
            <w:pPr>
              <w:rPr>
                <w:rFonts w:cstheme="minorHAnsi"/>
                <w:b/>
                <w:bCs/>
                <w:sz w:val="20"/>
                <w:szCs w:val="20"/>
                <w:lang w:val="en-AU" w:eastAsia="en-AU"/>
              </w:rPr>
            </w:pPr>
            <w:r w:rsidRPr="00BC1ACA">
              <w:rPr>
                <w:sz w:val="20"/>
                <w:szCs w:val="20"/>
              </w:rPr>
              <w:t>Implemented following consultation with pilots</w:t>
            </w:r>
          </w:p>
        </w:tc>
      </w:tr>
      <w:tr w:rsidR="00884712" w14:paraId="4BBDBF6A" w14:textId="77777777" w:rsidTr="0015219F">
        <w:tc>
          <w:tcPr>
            <w:tcW w:w="1413" w:type="dxa"/>
            <w:vAlign w:val="top"/>
          </w:tcPr>
          <w:p w14:paraId="78B9650C" w14:textId="77777777" w:rsidR="00884712" w:rsidRPr="00BC1ACA" w:rsidRDefault="00884712" w:rsidP="0015219F">
            <w:pPr>
              <w:rPr>
                <w:rFonts w:cstheme="minorHAnsi"/>
                <w:b/>
                <w:bCs/>
                <w:sz w:val="20"/>
                <w:szCs w:val="20"/>
                <w:lang w:val="en-AU" w:eastAsia="en-AU"/>
              </w:rPr>
            </w:pPr>
            <w:r w:rsidRPr="00BC1ACA">
              <w:rPr>
                <w:sz w:val="20"/>
                <w:szCs w:val="20"/>
              </w:rPr>
              <w:t>2026 04 10</w:t>
            </w:r>
          </w:p>
        </w:tc>
        <w:tc>
          <w:tcPr>
            <w:tcW w:w="1984" w:type="dxa"/>
            <w:vAlign w:val="top"/>
          </w:tcPr>
          <w:p w14:paraId="7B666A14" w14:textId="77777777" w:rsidR="00884712" w:rsidRPr="00BC1ACA" w:rsidRDefault="00884712" w:rsidP="0015219F">
            <w:pPr>
              <w:rPr>
                <w:rFonts w:cstheme="minorHAnsi"/>
                <w:b/>
                <w:bCs/>
                <w:sz w:val="20"/>
                <w:szCs w:val="20"/>
                <w:lang w:val="en-AU" w:eastAsia="en-AU"/>
              </w:rPr>
            </w:pPr>
            <w:r w:rsidRPr="00BC1ACA">
              <w:rPr>
                <w:sz w:val="20"/>
                <w:szCs w:val="20"/>
              </w:rPr>
              <w:t>Chart Correction</w:t>
            </w:r>
          </w:p>
        </w:tc>
        <w:tc>
          <w:tcPr>
            <w:tcW w:w="2720" w:type="dxa"/>
            <w:vAlign w:val="top"/>
          </w:tcPr>
          <w:p w14:paraId="230070B0" w14:textId="77777777" w:rsidR="00884712" w:rsidRPr="00BC1ACA" w:rsidRDefault="00884712" w:rsidP="0015219F">
            <w:pPr>
              <w:rPr>
                <w:rFonts w:cstheme="minorHAnsi"/>
                <w:b/>
                <w:bCs/>
                <w:sz w:val="20"/>
                <w:szCs w:val="20"/>
                <w:lang w:val="en-AU" w:eastAsia="en-AU"/>
              </w:rPr>
            </w:pPr>
            <w:r w:rsidRPr="00BC1ACA">
              <w:rPr>
                <w:sz w:val="20"/>
                <w:szCs w:val="20"/>
              </w:rPr>
              <w:t>Updated hydrographic information published</w:t>
            </w:r>
          </w:p>
        </w:tc>
        <w:tc>
          <w:tcPr>
            <w:tcW w:w="1108" w:type="dxa"/>
            <w:vAlign w:val="top"/>
          </w:tcPr>
          <w:p w14:paraId="62EFC74F" w14:textId="77777777" w:rsidR="00884712" w:rsidRPr="00BC1ACA" w:rsidRDefault="00884712" w:rsidP="0015219F">
            <w:pPr>
              <w:rPr>
                <w:rFonts w:cstheme="minorHAnsi"/>
                <w:b/>
                <w:bCs/>
                <w:sz w:val="20"/>
                <w:szCs w:val="20"/>
                <w:lang w:val="en-AU" w:eastAsia="en-AU"/>
              </w:rPr>
            </w:pPr>
            <w:r w:rsidRPr="00BC1ACA">
              <w:rPr>
                <w:sz w:val="20"/>
                <w:szCs w:val="20"/>
              </w:rPr>
              <w:t>Sector 1</w:t>
            </w:r>
          </w:p>
        </w:tc>
        <w:tc>
          <w:tcPr>
            <w:tcW w:w="2970" w:type="dxa"/>
            <w:vAlign w:val="top"/>
          </w:tcPr>
          <w:p w14:paraId="23BE0475" w14:textId="77777777" w:rsidR="00884712" w:rsidRPr="00BC1ACA" w:rsidRDefault="00884712" w:rsidP="0015219F">
            <w:pPr>
              <w:rPr>
                <w:rFonts w:cstheme="minorHAnsi"/>
                <w:b/>
                <w:bCs/>
                <w:sz w:val="20"/>
                <w:szCs w:val="20"/>
                <w:lang w:val="en-AU" w:eastAsia="en-AU"/>
              </w:rPr>
            </w:pPr>
            <w:r w:rsidRPr="00BC1ACA">
              <w:rPr>
                <w:sz w:val="20"/>
                <w:szCs w:val="20"/>
              </w:rPr>
              <w:t>Included new depth contours</w:t>
            </w:r>
          </w:p>
        </w:tc>
      </w:tr>
      <w:tr w:rsidR="00884712" w14:paraId="2C71A773" w14:textId="77777777" w:rsidTr="0015219F">
        <w:tc>
          <w:tcPr>
            <w:tcW w:w="1413" w:type="dxa"/>
            <w:vAlign w:val="top"/>
          </w:tcPr>
          <w:p w14:paraId="49652737" w14:textId="77777777" w:rsidR="00884712" w:rsidRPr="00BC1ACA" w:rsidRDefault="00884712" w:rsidP="0015219F">
            <w:pPr>
              <w:rPr>
                <w:rFonts w:cstheme="minorHAnsi"/>
                <w:b/>
                <w:bCs/>
                <w:sz w:val="20"/>
                <w:szCs w:val="20"/>
                <w:lang w:val="en-AU" w:eastAsia="en-AU"/>
              </w:rPr>
            </w:pPr>
            <w:r w:rsidRPr="00BC1ACA">
              <w:rPr>
                <w:sz w:val="20"/>
                <w:szCs w:val="20"/>
              </w:rPr>
              <w:t>2026 04 20</w:t>
            </w:r>
          </w:p>
        </w:tc>
        <w:tc>
          <w:tcPr>
            <w:tcW w:w="1984" w:type="dxa"/>
            <w:vAlign w:val="top"/>
          </w:tcPr>
          <w:p w14:paraId="489E3D6D" w14:textId="77777777" w:rsidR="00884712" w:rsidRPr="00BC1ACA" w:rsidRDefault="00884712" w:rsidP="0015219F">
            <w:pPr>
              <w:rPr>
                <w:rFonts w:cstheme="minorHAnsi"/>
                <w:b/>
                <w:bCs/>
                <w:sz w:val="20"/>
                <w:szCs w:val="20"/>
                <w:lang w:val="en-AU" w:eastAsia="en-AU"/>
              </w:rPr>
            </w:pPr>
            <w:r w:rsidRPr="00BC1ACA">
              <w:rPr>
                <w:sz w:val="20"/>
                <w:szCs w:val="20"/>
              </w:rPr>
              <w:t>DST Upgrade</w:t>
            </w:r>
          </w:p>
        </w:tc>
        <w:tc>
          <w:tcPr>
            <w:tcW w:w="2720" w:type="dxa"/>
            <w:vAlign w:val="top"/>
          </w:tcPr>
          <w:p w14:paraId="79A74D45" w14:textId="77777777" w:rsidR="00884712" w:rsidRPr="00BC1ACA" w:rsidRDefault="00884712" w:rsidP="0015219F">
            <w:pPr>
              <w:rPr>
                <w:rFonts w:cstheme="minorHAnsi"/>
                <w:b/>
                <w:bCs/>
                <w:sz w:val="20"/>
                <w:szCs w:val="20"/>
                <w:lang w:val="en-AU" w:eastAsia="en-AU"/>
              </w:rPr>
            </w:pPr>
            <w:r w:rsidRPr="00BC1ACA">
              <w:rPr>
                <w:sz w:val="20"/>
                <w:szCs w:val="20"/>
              </w:rPr>
              <w:t>Enhanced traffic prediction module deployed</w:t>
            </w:r>
          </w:p>
        </w:tc>
        <w:tc>
          <w:tcPr>
            <w:tcW w:w="1108" w:type="dxa"/>
            <w:vAlign w:val="top"/>
          </w:tcPr>
          <w:p w14:paraId="224C45A2" w14:textId="77777777" w:rsidR="00884712" w:rsidRPr="00BC1ACA" w:rsidRDefault="00884712" w:rsidP="0015219F">
            <w:pPr>
              <w:rPr>
                <w:rFonts w:cstheme="minorHAnsi"/>
                <w:b/>
                <w:bCs/>
                <w:sz w:val="20"/>
                <w:szCs w:val="20"/>
                <w:lang w:val="en-AU" w:eastAsia="en-AU"/>
              </w:rPr>
            </w:pPr>
            <w:r w:rsidRPr="00BC1ACA">
              <w:rPr>
                <w:sz w:val="20"/>
                <w:szCs w:val="20"/>
              </w:rPr>
              <w:t>All sectors</w:t>
            </w:r>
          </w:p>
        </w:tc>
        <w:tc>
          <w:tcPr>
            <w:tcW w:w="2970" w:type="dxa"/>
            <w:vAlign w:val="top"/>
          </w:tcPr>
          <w:p w14:paraId="63180B2D" w14:textId="77777777" w:rsidR="00884712" w:rsidRPr="00BC1ACA" w:rsidRDefault="00884712" w:rsidP="0015219F">
            <w:pPr>
              <w:rPr>
                <w:rFonts w:cstheme="minorHAnsi"/>
                <w:b/>
                <w:bCs/>
                <w:sz w:val="20"/>
                <w:szCs w:val="20"/>
                <w:lang w:val="en-AU" w:eastAsia="en-AU"/>
              </w:rPr>
            </w:pPr>
            <w:r w:rsidRPr="00BC1ACA">
              <w:rPr>
                <w:sz w:val="20"/>
                <w:szCs w:val="20"/>
              </w:rPr>
              <w:t>Operator training completed</w:t>
            </w:r>
          </w:p>
        </w:tc>
      </w:tr>
    </w:tbl>
    <w:p w14:paraId="1F31A20C"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Interpretation</w:t>
      </w:r>
    </w:p>
    <w:p w14:paraId="4E2273D6" w14:textId="77777777" w:rsidR="00884712" w:rsidRPr="002C4883" w:rsidRDefault="00884712" w:rsidP="00D4607C">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Across the month:</w:t>
      </w:r>
    </w:p>
    <w:p w14:paraId="1AC2AB8A" w14:textId="77777777" w:rsidR="00884712" w:rsidRPr="002C4883" w:rsidRDefault="00884712" w:rsidP="00DA78AB">
      <w:pPr>
        <w:numPr>
          <w:ilvl w:val="0"/>
          <w:numId w:val="33"/>
        </w:num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Six developing unsafe situations were recorded.</w:t>
      </w:r>
    </w:p>
    <w:p w14:paraId="393B9BF5" w14:textId="77777777" w:rsidR="00884712" w:rsidRPr="002C4883" w:rsidRDefault="00884712" w:rsidP="00DA78AB">
      <w:pPr>
        <w:numPr>
          <w:ilvl w:val="0"/>
          <w:numId w:val="33"/>
        </w:num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Five were mitigated through VTS interaction.</w:t>
      </w:r>
    </w:p>
    <w:p w14:paraId="3EDAE324" w14:textId="77777777" w:rsidR="00884712" w:rsidRPr="002C4883" w:rsidRDefault="00884712" w:rsidP="00DA78AB">
      <w:pPr>
        <w:numPr>
          <w:ilvl w:val="0"/>
          <w:numId w:val="33"/>
        </w:num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Three coincided with changes in other safety measures.</w:t>
      </w:r>
    </w:p>
    <w:p w14:paraId="6E48AD73" w14:textId="77777777" w:rsidR="00884712" w:rsidRPr="002C4883" w:rsidRDefault="00884712" w:rsidP="00DA78AB">
      <w:pPr>
        <w:numPr>
          <w:ilvl w:val="0"/>
          <w:numId w:val="33"/>
        </w:num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Two involved escalations from advice to warning or instruction.</w:t>
      </w:r>
    </w:p>
    <w:p w14:paraId="7532F8A7" w14:textId="77777777" w:rsidR="00884712" w:rsidRPr="002C4883" w:rsidRDefault="00884712" w:rsidP="00884712">
      <w:p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 xml:space="preserve">The </w:t>
      </w:r>
      <w:r w:rsidRPr="002C4883">
        <w:rPr>
          <w:rFonts w:eastAsia="Times New Roman" w:cstheme="minorHAnsi"/>
          <w:b/>
          <w:bCs/>
          <w:sz w:val="22"/>
          <w:lang w:val="en-AU" w:eastAsia="en-AU"/>
        </w:rPr>
        <w:t>separate datasets</w:t>
      </w:r>
      <w:r w:rsidRPr="002C4883">
        <w:rPr>
          <w:rFonts w:eastAsia="Times New Roman" w:cstheme="minorHAnsi"/>
          <w:sz w:val="22"/>
          <w:lang w:val="en-AU" w:eastAsia="en-AU"/>
        </w:rPr>
        <w:t xml:space="preserve"> make it easier to:</w:t>
      </w:r>
    </w:p>
    <w:p w14:paraId="3F7A23D1" w14:textId="77777777" w:rsidR="00884712" w:rsidRPr="002C4883" w:rsidRDefault="00884712" w:rsidP="00DA78AB">
      <w:pPr>
        <w:numPr>
          <w:ilvl w:val="0"/>
          <w:numId w:val="34"/>
        </w:num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analyse VTS interactions independently,</w:t>
      </w:r>
    </w:p>
    <w:p w14:paraId="4BBCDA39" w14:textId="77777777" w:rsidR="00884712" w:rsidRPr="002C4883" w:rsidRDefault="00884712" w:rsidP="00DA78AB">
      <w:pPr>
        <w:numPr>
          <w:ilvl w:val="0"/>
          <w:numId w:val="34"/>
        </w:num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interpret trends in context,</w:t>
      </w:r>
    </w:p>
    <w:p w14:paraId="270C999F" w14:textId="77777777" w:rsidR="00884712" w:rsidRPr="002A1A8A" w:rsidRDefault="00884712" w:rsidP="00DA78AB">
      <w:pPr>
        <w:numPr>
          <w:ilvl w:val="0"/>
          <w:numId w:val="34"/>
        </w:num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identify correlations between system changes and vessel behaviour.</w:t>
      </w:r>
      <w:r w:rsidRPr="002A1A8A">
        <w:rPr>
          <w:rFonts w:eastAsia="Times New Roman" w:cstheme="minorHAnsi"/>
          <w:b/>
          <w:bCs/>
          <w:kern w:val="36"/>
          <w:sz w:val="22"/>
          <w:lang w:val="en-AU" w:eastAsia="en-AU"/>
        </w:rPr>
        <w:br w:type="page"/>
      </w:r>
    </w:p>
    <w:p w14:paraId="296E253B" w14:textId="77777777" w:rsidR="00884712" w:rsidRPr="002C4883" w:rsidRDefault="00884712" w:rsidP="00884712">
      <w:pPr>
        <w:spacing w:before="100" w:beforeAutospacing="1" w:after="100" w:afterAutospacing="1" w:line="240" w:lineRule="auto"/>
        <w:jc w:val="right"/>
        <w:outlineLvl w:val="0"/>
        <w:rPr>
          <w:rFonts w:eastAsia="Times New Roman" w:cstheme="minorHAnsi"/>
          <w:b/>
          <w:bCs/>
          <w:kern w:val="36"/>
          <w:sz w:val="22"/>
          <w:lang w:val="en-AU" w:eastAsia="en-AU"/>
        </w:rPr>
      </w:pPr>
      <w:bookmarkStart w:id="70" w:name="_Toc235197799"/>
      <w:bookmarkStart w:id="71" w:name="_Toc238036145"/>
      <w:r w:rsidRPr="002C4883">
        <w:rPr>
          <w:rFonts w:eastAsia="Times New Roman" w:cstheme="minorHAnsi"/>
          <w:b/>
          <w:bCs/>
          <w:kern w:val="36"/>
          <w:sz w:val="22"/>
          <w:lang w:val="en-AU" w:eastAsia="en-AU"/>
        </w:rPr>
        <w:lastRenderedPageBreak/>
        <w:t>ANNEX C — DEFINITIONS AND TERMINOLOGY</w:t>
      </w:r>
      <w:bookmarkEnd w:id="70"/>
      <w:bookmarkEnd w:id="71"/>
    </w:p>
    <w:p w14:paraId="01971251" w14:textId="77777777" w:rsidR="00884712" w:rsidRPr="002C4883" w:rsidRDefault="00884712" w:rsidP="00884712">
      <w:p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This Annex provides definitions of key terms used throughout the Guideline. These definitions support consistent interpretation and application of the methodology.</w:t>
      </w:r>
    </w:p>
    <w:p w14:paraId="1BA664A7"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Vessel Traffic Service (VTS)</w:t>
      </w:r>
    </w:p>
    <w:p w14:paraId="59700920"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A service implemented by a Competent Authority to improve the safety and efficiency of vessel traffic and to protect the environment.</w:t>
      </w:r>
    </w:p>
    <w:p w14:paraId="3A1AE748"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Contribution</w:t>
      </w:r>
    </w:p>
    <w:p w14:paraId="35277E70"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The role, input and support that VTS provides within an integrated system of safety and environmental measures.</w:t>
      </w:r>
    </w:p>
    <w:p w14:paraId="472A5AE4"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Developing Unsafe Situation</w:t>
      </w:r>
    </w:p>
    <w:p w14:paraId="3EEDAC41"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A circumstance indicating increasing risk to navigational safety or protection of the environment, requiring mitigation through VTS interaction.</w:t>
      </w:r>
    </w:p>
    <w:p w14:paraId="3EF601C5"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VTS Interaction</w:t>
      </w:r>
    </w:p>
    <w:p w14:paraId="7EAEB954"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An action taken by VTS through the issue of advice, warnings or instructions.</w:t>
      </w:r>
    </w:p>
    <w:p w14:paraId="1008D8C2"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Advice / Warning / Instruction</w:t>
      </w:r>
    </w:p>
    <w:p w14:paraId="3E704D17"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Standard marine communication message markers used by VTS.</w:t>
      </w:r>
    </w:p>
    <w:p w14:paraId="754A3130"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Time</w:t>
      </w:r>
      <w:r w:rsidRPr="002C4883">
        <w:rPr>
          <w:rFonts w:cstheme="minorHAnsi"/>
          <w:b/>
          <w:bCs/>
          <w:sz w:val="22"/>
          <w:lang w:val="en-AU" w:eastAsia="en-AU"/>
        </w:rPr>
        <w:noBreakHyphen/>
        <w:t>Series Dataset</w:t>
      </w:r>
    </w:p>
    <w:p w14:paraId="3A4DE35E"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A chronological record of VTS interactions, developing unsafe situations and associated safety and environmental measures.</w:t>
      </w:r>
    </w:p>
    <w:p w14:paraId="59185A66"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VTS Attributable</w:t>
      </w:r>
    </w:p>
    <w:p w14:paraId="1650DF50"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Indicator identifying whether a VTS interaction contributed to mitigating a developing unsafe situation.</w:t>
      </w:r>
    </w:p>
    <w:p w14:paraId="3793B4E3"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Decision Support Tools (DSTs)</w:t>
      </w:r>
    </w:p>
    <w:p w14:paraId="388F447A"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Technologies supporting VTS decision</w:t>
      </w:r>
      <w:r w:rsidRPr="002C4883">
        <w:rPr>
          <w:rFonts w:eastAsia="Times New Roman" w:cstheme="minorHAnsi"/>
          <w:sz w:val="22"/>
          <w:lang w:val="en-AU" w:eastAsia="en-AU"/>
        </w:rPr>
        <w:noBreakHyphen/>
        <w:t>making.</w:t>
      </w:r>
    </w:p>
    <w:p w14:paraId="6B42D841" w14:textId="77777777" w:rsidR="00884712" w:rsidRPr="002C4883" w:rsidRDefault="00884712" w:rsidP="00884712">
      <w:pPr>
        <w:rPr>
          <w:rFonts w:eastAsia="Times New Roman" w:cstheme="minorHAnsi"/>
          <w:b/>
          <w:bCs/>
          <w:kern w:val="36"/>
          <w:sz w:val="22"/>
          <w:lang w:val="en-AU" w:eastAsia="en-AU"/>
        </w:rPr>
      </w:pPr>
      <w:r w:rsidRPr="002C4883">
        <w:rPr>
          <w:rFonts w:eastAsia="Times New Roman" w:cstheme="minorHAnsi"/>
          <w:b/>
          <w:bCs/>
          <w:kern w:val="36"/>
          <w:sz w:val="22"/>
          <w:lang w:val="en-AU" w:eastAsia="en-AU"/>
        </w:rPr>
        <w:br w:type="page"/>
      </w:r>
    </w:p>
    <w:p w14:paraId="7E6F30F1" w14:textId="77777777" w:rsidR="00884712" w:rsidRPr="002C4883" w:rsidRDefault="00884712" w:rsidP="00884712">
      <w:pPr>
        <w:spacing w:before="100" w:beforeAutospacing="1" w:after="100" w:afterAutospacing="1" w:line="240" w:lineRule="auto"/>
        <w:jc w:val="right"/>
        <w:outlineLvl w:val="0"/>
        <w:rPr>
          <w:rFonts w:eastAsia="Times New Roman" w:cstheme="minorHAnsi"/>
          <w:b/>
          <w:bCs/>
          <w:kern w:val="36"/>
          <w:sz w:val="22"/>
          <w:lang w:val="en-AU" w:eastAsia="en-AU"/>
        </w:rPr>
      </w:pPr>
      <w:bookmarkStart w:id="72" w:name="_Toc235197800"/>
      <w:bookmarkStart w:id="73" w:name="_Toc238036146"/>
      <w:r w:rsidRPr="002C4883">
        <w:rPr>
          <w:rFonts w:eastAsia="Times New Roman" w:cstheme="minorHAnsi"/>
          <w:b/>
          <w:bCs/>
          <w:kern w:val="36"/>
          <w:sz w:val="22"/>
          <w:lang w:val="en-AU" w:eastAsia="en-AU"/>
        </w:rPr>
        <w:lastRenderedPageBreak/>
        <w:t>ANNEX D — TEMPLATE FOR REPORTING VTS CONTRIBUTION</w:t>
      </w:r>
      <w:bookmarkEnd w:id="72"/>
      <w:bookmarkEnd w:id="73"/>
    </w:p>
    <w:p w14:paraId="0AB58D28" w14:textId="77777777" w:rsidR="00884712" w:rsidRPr="002C4883" w:rsidRDefault="00884712" w:rsidP="00884712">
      <w:p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sz w:val="22"/>
          <w:lang w:val="en-AU" w:eastAsia="en-AU"/>
        </w:rPr>
        <w:t>This Annex provides a template that VTS centres may use when reporting VTS contribution to Competent Authorities, port authorities or other stakeholders.</w:t>
      </w:r>
    </w:p>
    <w:p w14:paraId="71F4F7E4" w14:textId="77777777" w:rsidR="00884712" w:rsidRPr="002C4883" w:rsidRDefault="00884712" w:rsidP="00884712">
      <w:pPr>
        <w:rPr>
          <w:rFonts w:cstheme="minorHAnsi"/>
          <w:b/>
          <w:bCs/>
          <w:sz w:val="22"/>
          <w:lang w:val="en-AU" w:eastAsia="en-AU"/>
        </w:rPr>
      </w:pPr>
      <w:r w:rsidRPr="002C4883">
        <w:rPr>
          <w:rFonts w:cstheme="minorHAnsi"/>
          <w:b/>
          <w:bCs/>
          <w:sz w:val="22"/>
          <w:lang w:val="en-AU" w:eastAsia="en-AU"/>
        </w:rPr>
        <w:t>1. Overview</w:t>
      </w:r>
    </w:p>
    <w:p w14:paraId="5DD6E727" w14:textId="77777777" w:rsidR="00884712" w:rsidRPr="002C4883" w:rsidRDefault="00884712" w:rsidP="00884712">
      <w:pPr>
        <w:spacing w:before="100" w:beforeAutospacing="1" w:after="100" w:afterAutospacing="1" w:line="240" w:lineRule="auto"/>
        <w:rPr>
          <w:rFonts w:eastAsia="Times New Roman" w:cstheme="minorHAnsi"/>
          <w:sz w:val="22"/>
          <w:lang w:val="en-AU" w:eastAsia="en-AU"/>
        </w:rPr>
      </w:pPr>
      <w:r w:rsidRPr="002C4883">
        <w:rPr>
          <w:rFonts w:eastAsia="Times New Roman" w:cstheme="minorHAnsi"/>
          <w:b/>
          <w:bCs/>
          <w:sz w:val="22"/>
          <w:lang w:val="en-AU" w:eastAsia="en-AU"/>
        </w:rPr>
        <w:t>Reporting period:</w:t>
      </w:r>
      <w:r w:rsidRPr="002C4883">
        <w:rPr>
          <w:rFonts w:eastAsia="Times New Roman" w:cstheme="minorHAnsi"/>
          <w:sz w:val="22"/>
          <w:lang w:val="en-AU" w:eastAsia="en-AU"/>
        </w:rPr>
        <w:t xml:space="preserve"> </w:t>
      </w:r>
      <w:r w:rsidRPr="002C4883">
        <w:rPr>
          <w:rFonts w:eastAsia="Times New Roman" w:cstheme="minorHAnsi"/>
          <w:b/>
          <w:bCs/>
          <w:sz w:val="22"/>
          <w:lang w:val="en-AU" w:eastAsia="en-AU"/>
        </w:rPr>
        <w:t>VTS Centre:</w:t>
      </w:r>
      <w:r w:rsidRPr="002C4883">
        <w:rPr>
          <w:rFonts w:eastAsia="Times New Roman" w:cstheme="minorHAnsi"/>
          <w:sz w:val="22"/>
          <w:lang w:val="en-AU" w:eastAsia="en-AU"/>
        </w:rPr>
        <w:t xml:space="preserve"> </w:t>
      </w:r>
      <w:r w:rsidRPr="002C4883">
        <w:rPr>
          <w:rFonts w:eastAsia="Times New Roman" w:cstheme="minorHAnsi"/>
          <w:b/>
          <w:bCs/>
          <w:sz w:val="22"/>
          <w:lang w:val="en-AU" w:eastAsia="en-AU"/>
        </w:rPr>
        <w:t>Competent Authority:</w:t>
      </w:r>
      <w:r w:rsidRPr="002C4883">
        <w:rPr>
          <w:rFonts w:eastAsia="Times New Roman" w:cstheme="minorHAnsi"/>
          <w:sz w:val="22"/>
          <w:lang w:val="en-AU" w:eastAsia="en-AU"/>
        </w:rPr>
        <w:t xml:space="preserve"> </w:t>
      </w:r>
      <w:r w:rsidRPr="002C4883">
        <w:rPr>
          <w:rFonts w:eastAsia="Times New Roman" w:cstheme="minorHAnsi"/>
          <w:b/>
          <w:bCs/>
          <w:sz w:val="22"/>
          <w:lang w:val="en-AU" w:eastAsia="en-AU"/>
        </w:rPr>
        <w:t>Prepared by:</w:t>
      </w:r>
      <w:r w:rsidRPr="002C4883">
        <w:rPr>
          <w:rFonts w:eastAsia="Times New Roman" w:cstheme="minorHAnsi"/>
          <w:sz w:val="22"/>
          <w:lang w:val="en-AU" w:eastAsia="en-AU"/>
        </w:rPr>
        <w:t xml:space="preserve"> </w:t>
      </w:r>
      <w:r w:rsidRPr="002C4883">
        <w:rPr>
          <w:rFonts w:eastAsia="Times New Roman" w:cstheme="minorHAnsi"/>
          <w:b/>
          <w:bCs/>
          <w:sz w:val="22"/>
          <w:lang w:val="en-AU" w:eastAsia="en-AU"/>
        </w:rPr>
        <w:t>Date:</w:t>
      </w:r>
    </w:p>
    <w:p w14:paraId="186EB0CA" w14:textId="77777777" w:rsidR="00884712" w:rsidRDefault="00884712" w:rsidP="00884712">
      <w:pPr>
        <w:rPr>
          <w:rFonts w:cstheme="minorHAnsi"/>
          <w:b/>
          <w:bCs/>
          <w:sz w:val="22"/>
          <w:lang w:val="en-AU" w:eastAsia="en-AU"/>
        </w:rPr>
      </w:pPr>
      <w:r w:rsidRPr="002C4883">
        <w:rPr>
          <w:rFonts w:cstheme="minorHAnsi"/>
          <w:b/>
          <w:bCs/>
          <w:sz w:val="22"/>
          <w:lang w:val="en-AU" w:eastAsia="en-AU"/>
        </w:rPr>
        <w:t>2. Summary of VTS Interactions</w:t>
      </w:r>
    </w:p>
    <w:tbl>
      <w:tblPr>
        <w:tblStyle w:val="TableGrid"/>
        <w:tblW w:w="0" w:type="auto"/>
        <w:tblLook w:val="04A0" w:firstRow="1" w:lastRow="0" w:firstColumn="1" w:lastColumn="0" w:noHBand="0" w:noVBand="1"/>
      </w:tblPr>
      <w:tblGrid>
        <w:gridCol w:w="4390"/>
        <w:gridCol w:w="850"/>
      </w:tblGrid>
      <w:tr w:rsidR="00884712" w14:paraId="2258922C" w14:textId="77777777" w:rsidTr="0015219F">
        <w:tc>
          <w:tcPr>
            <w:tcW w:w="4390" w:type="dxa"/>
            <w:shd w:val="clear" w:color="auto" w:fill="00B0F0"/>
            <w:vAlign w:val="top"/>
          </w:tcPr>
          <w:p w14:paraId="69810541" w14:textId="77777777" w:rsidR="00884712" w:rsidRPr="00ED7105" w:rsidRDefault="00884712" w:rsidP="0015219F">
            <w:pPr>
              <w:jc w:val="center"/>
              <w:rPr>
                <w:rFonts w:cstheme="minorHAnsi"/>
                <w:b/>
                <w:bCs/>
                <w:color w:val="FFFFFF" w:themeColor="background1"/>
                <w:sz w:val="20"/>
                <w:szCs w:val="20"/>
                <w:highlight w:val="yellow"/>
                <w:lang w:val="en-AU" w:eastAsia="en-AU"/>
              </w:rPr>
            </w:pPr>
            <w:r w:rsidRPr="00ED7105">
              <w:rPr>
                <w:b/>
                <w:bCs/>
                <w:color w:val="FFFFFF" w:themeColor="background1"/>
                <w:sz w:val="20"/>
                <w:szCs w:val="20"/>
              </w:rPr>
              <w:t>Metric</w:t>
            </w:r>
          </w:p>
        </w:tc>
        <w:tc>
          <w:tcPr>
            <w:tcW w:w="850" w:type="dxa"/>
            <w:shd w:val="clear" w:color="auto" w:fill="00B0F0"/>
            <w:vAlign w:val="top"/>
          </w:tcPr>
          <w:p w14:paraId="15B38095" w14:textId="77777777" w:rsidR="00884712" w:rsidRPr="00ED7105" w:rsidRDefault="00884712" w:rsidP="0015219F">
            <w:pPr>
              <w:rPr>
                <w:rFonts w:cstheme="minorHAnsi"/>
                <w:b/>
                <w:bCs/>
                <w:color w:val="FFFFFF" w:themeColor="background1"/>
                <w:sz w:val="20"/>
                <w:szCs w:val="20"/>
                <w:lang w:val="en-AU" w:eastAsia="en-AU"/>
              </w:rPr>
            </w:pPr>
            <w:r w:rsidRPr="00ED7105">
              <w:rPr>
                <w:b/>
                <w:bCs/>
                <w:color w:val="FFFFFF" w:themeColor="background1"/>
                <w:sz w:val="20"/>
                <w:szCs w:val="20"/>
              </w:rPr>
              <w:t>Value</w:t>
            </w:r>
          </w:p>
        </w:tc>
      </w:tr>
      <w:tr w:rsidR="00884712" w14:paraId="05A22639" w14:textId="77777777" w:rsidTr="0015219F">
        <w:tc>
          <w:tcPr>
            <w:tcW w:w="4390" w:type="dxa"/>
            <w:vAlign w:val="top"/>
          </w:tcPr>
          <w:p w14:paraId="3AEC64BF" w14:textId="77777777" w:rsidR="00884712" w:rsidRPr="007100F5" w:rsidRDefault="00884712" w:rsidP="0015219F">
            <w:pPr>
              <w:rPr>
                <w:rFonts w:cstheme="minorHAnsi"/>
                <w:b/>
                <w:bCs/>
                <w:sz w:val="20"/>
                <w:szCs w:val="20"/>
                <w:lang w:val="en-AU" w:eastAsia="en-AU"/>
              </w:rPr>
            </w:pPr>
            <w:r w:rsidRPr="007100F5">
              <w:rPr>
                <w:sz w:val="20"/>
                <w:szCs w:val="20"/>
              </w:rPr>
              <w:t>Total developing unsafe situations recorded</w:t>
            </w:r>
          </w:p>
        </w:tc>
        <w:tc>
          <w:tcPr>
            <w:tcW w:w="850" w:type="dxa"/>
            <w:vAlign w:val="top"/>
          </w:tcPr>
          <w:p w14:paraId="19E1C729" w14:textId="77777777" w:rsidR="00884712" w:rsidRPr="007100F5" w:rsidRDefault="00884712" w:rsidP="0015219F">
            <w:pPr>
              <w:rPr>
                <w:rFonts w:cstheme="minorHAnsi"/>
                <w:b/>
                <w:bCs/>
                <w:sz w:val="20"/>
                <w:szCs w:val="20"/>
                <w:lang w:val="en-AU" w:eastAsia="en-AU"/>
              </w:rPr>
            </w:pPr>
          </w:p>
        </w:tc>
      </w:tr>
      <w:tr w:rsidR="00884712" w14:paraId="369B0C29" w14:textId="77777777" w:rsidTr="0015219F">
        <w:tc>
          <w:tcPr>
            <w:tcW w:w="4390" w:type="dxa"/>
            <w:vAlign w:val="top"/>
          </w:tcPr>
          <w:p w14:paraId="38A10045" w14:textId="77777777" w:rsidR="00884712" w:rsidRPr="007100F5" w:rsidRDefault="00884712" w:rsidP="0015219F">
            <w:pPr>
              <w:rPr>
                <w:rFonts w:cstheme="minorHAnsi"/>
                <w:b/>
                <w:bCs/>
                <w:sz w:val="20"/>
                <w:szCs w:val="20"/>
                <w:lang w:val="en-AU" w:eastAsia="en-AU"/>
              </w:rPr>
            </w:pPr>
            <w:r w:rsidRPr="007100F5">
              <w:rPr>
                <w:sz w:val="20"/>
                <w:szCs w:val="20"/>
              </w:rPr>
              <w:t>Total VTS interactions</w:t>
            </w:r>
          </w:p>
        </w:tc>
        <w:tc>
          <w:tcPr>
            <w:tcW w:w="850" w:type="dxa"/>
            <w:vAlign w:val="top"/>
          </w:tcPr>
          <w:p w14:paraId="13942D50" w14:textId="77777777" w:rsidR="00884712" w:rsidRPr="007100F5" w:rsidRDefault="00884712" w:rsidP="0015219F">
            <w:pPr>
              <w:rPr>
                <w:rFonts w:cstheme="minorHAnsi"/>
                <w:b/>
                <w:bCs/>
                <w:sz w:val="20"/>
                <w:szCs w:val="20"/>
                <w:lang w:val="en-AU" w:eastAsia="en-AU"/>
              </w:rPr>
            </w:pPr>
          </w:p>
        </w:tc>
      </w:tr>
      <w:tr w:rsidR="00884712" w14:paraId="4ED53264" w14:textId="77777777" w:rsidTr="0015219F">
        <w:tc>
          <w:tcPr>
            <w:tcW w:w="4390" w:type="dxa"/>
            <w:vAlign w:val="top"/>
          </w:tcPr>
          <w:p w14:paraId="752E6046" w14:textId="77777777" w:rsidR="00884712" w:rsidRPr="007100F5" w:rsidRDefault="00884712" w:rsidP="0015219F">
            <w:pPr>
              <w:rPr>
                <w:rFonts w:cstheme="minorHAnsi"/>
                <w:b/>
                <w:bCs/>
                <w:sz w:val="20"/>
                <w:szCs w:val="20"/>
                <w:lang w:val="en-AU" w:eastAsia="en-AU"/>
              </w:rPr>
            </w:pPr>
            <w:r w:rsidRPr="007100F5">
              <w:rPr>
                <w:sz w:val="20"/>
                <w:szCs w:val="20"/>
              </w:rPr>
              <w:t>Situations mitigated through VTS interaction</w:t>
            </w:r>
          </w:p>
        </w:tc>
        <w:tc>
          <w:tcPr>
            <w:tcW w:w="850" w:type="dxa"/>
            <w:vAlign w:val="top"/>
          </w:tcPr>
          <w:p w14:paraId="0F306667" w14:textId="77777777" w:rsidR="00884712" w:rsidRPr="007100F5" w:rsidRDefault="00884712" w:rsidP="0015219F">
            <w:pPr>
              <w:rPr>
                <w:rFonts w:cstheme="minorHAnsi"/>
                <w:b/>
                <w:bCs/>
                <w:sz w:val="20"/>
                <w:szCs w:val="20"/>
                <w:lang w:val="en-AU" w:eastAsia="en-AU"/>
              </w:rPr>
            </w:pPr>
          </w:p>
        </w:tc>
      </w:tr>
      <w:tr w:rsidR="00884712" w14:paraId="393F5C21" w14:textId="77777777" w:rsidTr="0015219F">
        <w:tc>
          <w:tcPr>
            <w:tcW w:w="4390" w:type="dxa"/>
            <w:vAlign w:val="top"/>
          </w:tcPr>
          <w:p w14:paraId="63FB1046" w14:textId="77777777" w:rsidR="00884712" w:rsidRPr="007100F5" w:rsidRDefault="00884712" w:rsidP="0015219F">
            <w:pPr>
              <w:rPr>
                <w:rFonts w:cstheme="minorHAnsi"/>
                <w:b/>
                <w:bCs/>
                <w:sz w:val="20"/>
                <w:szCs w:val="20"/>
                <w:lang w:val="en-AU" w:eastAsia="en-AU"/>
              </w:rPr>
            </w:pPr>
            <w:r w:rsidRPr="007100F5">
              <w:rPr>
                <w:sz w:val="20"/>
                <w:szCs w:val="20"/>
              </w:rPr>
              <w:t>Escalations (advice → warning → instruction)</w:t>
            </w:r>
          </w:p>
        </w:tc>
        <w:tc>
          <w:tcPr>
            <w:tcW w:w="850" w:type="dxa"/>
            <w:vAlign w:val="top"/>
          </w:tcPr>
          <w:p w14:paraId="31AC477D" w14:textId="77777777" w:rsidR="00884712" w:rsidRPr="007100F5" w:rsidRDefault="00884712" w:rsidP="0015219F">
            <w:pPr>
              <w:rPr>
                <w:rFonts w:cstheme="minorHAnsi"/>
                <w:b/>
                <w:bCs/>
                <w:sz w:val="20"/>
                <w:szCs w:val="20"/>
                <w:lang w:val="en-AU" w:eastAsia="en-AU"/>
              </w:rPr>
            </w:pPr>
          </w:p>
        </w:tc>
      </w:tr>
      <w:tr w:rsidR="00884712" w14:paraId="16F6E1B3" w14:textId="77777777" w:rsidTr="0015219F">
        <w:tc>
          <w:tcPr>
            <w:tcW w:w="4390" w:type="dxa"/>
            <w:vAlign w:val="top"/>
          </w:tcPr>
          <w:p w14:paraId="4EBE3009" w14:textId="77777777" w:rsidR="00884712" w:rsidRPr="007100F5" w:rsidRDefault="00884712" w:rsidP="0015219F">
            <w:pPr>
              <w:rPr>
                <w:rFonts w:cstheme="minorHAnsi"/>
                <w:b/>
                <w:bCs/>
                <w:sz w:val="20"/>
                <w:szCs w:val="20"/>
                <w:lang w:val="en-AU" w:eastAsia="en-AU"/>
              </w:rPr>
            </w:pPr>
            <w:r w:rsidRPr="007100F5">
              <w:rPr>
                <w:sz w:val="20"/>
                <w:szCs w:val="20"/>
              </w:rPr>
              <w:t>Emergency responses supported</w:t>
            </w:r>
          </w:p>
        </w:tc>
        <w:tc>
          <w:tcPr>
            <w:tcW w:w="850" w:type="dxa"/>
            <w:vAlign w:val="top"/>
          </w:tcPr>
          <w:p w14:paraId="71459F22" w14:textId="77777777" w:rsidR="00884712" w:rsidRPr="007100F5" w:rsidRDefault="00884712" w:rsidP="0015219F">
            <w:pPr>
              <w:rPr>
                <w:rFonts w:cstheme="minorHAnsi"/>
                <w:b/>
                <w:bCs/>
                <w:sz w:val="20"/>
                <w:szCs w:val="20"/>
                <w:lang w:val="en-AU" w:eastAsia="en-AU"/>
              </w:rPr>
            </w:pPr>
          </w:p>
        </w:tc>
      </w:tr>
    </w:tbl>
    <w:p w14:paraId="183D5DBB" w14:textId="77777777" w:rsidR="00884712" w:rsidRDefault="00884712" w:rsidP="00884712">
      <w:pPr>
        <w:spacing w:before="120" w:after="120" w:line="240" w:lineRule="auto"/>
        <w:rPr>
          <w:rFonts w:cstheme="minorHAnsi"/>
          <w:b/>
          <w:bCs/>
          <w:sz w:val="22"/>
          <w:lang w:val="en-AU" w:eastAsia="en-AU"/>
        </w:rPr>
      </w:pPr>
    </w:p>
    <w:p w14:paraId="05419046" w14:textId="77777777" w:rsidR="00884712"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3. Types of Developing Unsafe Situations</w:t>
      </w:r>
    </w:p>
    <w:tbl>
      <w:tblPr>
        <w:tblStyle w:val="TableGrid"/>
        <w:tblW w:w="0" w:type="auto"/>
        <w:tblLook w:val="04A0" w:firstRow="1" w:lastRow="0" w:firstColumn="1" w:lastColumn="0" w:noHBand="0" w:noVBand="1"/>
      </w:tblPr>
      <w:tblGrid>
        <w:gridCol w:w="1129"/>
        <w:gridCol w:w="2552"/>
        <w:gridCol w:w="714"/>
      </w:tblGrid>
      <w:tr w:rsidR="00884712" w:rsidRPr="008C764A" w14:paraId="6A23A8AF" w14:textId="77777777" w:rsidTr="0015219F">
        <w:tc>
          <w:tcPr>
            <w:tcW w:w="1129" w:type="dxa"/>
            <w:shd w:val="clear" w:color="auto" w:fill="00B0F0"/>
            <w:vAlign w:val="top"/>
          </w:tcPr>
          <w:p w14:paraId="3F488FE4" w14:textId="77777777" w:rsidR="00884712" w:rsidRPr="00B908D2" w:rsidRDefault="00884712" w:rsidP="0015219F">
            <w:pPr>
              <w:spacing w:before="120" w:after="120"/>
              <w:jc w:val="center"/>
              <w:rPr>
                <w:rFonts w:cstheme="minorHAnsi"/>
                <w:b/>
                <w:bCs/>
                <w:color w:val="FFFFFF" w:themeColor="background1"/>
                <w:sz w:val="20"/>
                <w:szCs w:val="20"/>
                <w:lang w:val="en-AU" w:eastAsia="en-AU"/>
              </w:rPr>
            </w:pPr>
            <w:r w:rsidRPr="00B908D2">
              <w:rPr>
                <w:b/>
                <w:bCs/>
                <w:color w:val="FFFFFF" w:themeColor="background1"/>
                <w:sz w:val="20"/>
                <w:szCs w:val="20"/>
              </w:rPr>
              <w:t>DUS Code</w:t>
            </w:r>
          </w:p>
        </w:tc>
        <w:tc>
          <w:tcPr>
            <w:tcW w:w="2552" w:type="dxa"/>
            <w:shd w:val="clear" w:color="auto" w:fill="00B0F0"/>
            <w:vAlign w:val="top"/>
          </w:tcPr>
          <w:p w14:paraId="5DC4FC16" w14:textId="77777777" w:rsidR="00884712" w:rsidRPr="00B908D2" w:rsidRDefault="00884712" w:rsidP="0015219F">
            <w:pPr>
              <w:spacing w:before="120" w:after="120"/>
              <w:jc w:val="center"/>
              <w:rPr>
                <w:rFonts w:cstheme="minorHAnsi"/>
                <w:b/>
                <w:bCs/>
                <w:color w:val="FFFFFF" w:themeColor="background1"/>
                <w:sz w:val="20"/>
                <w:szCs w:val="20"/>
                <w:lang w:val="en-AU" w:eastAsia="en-AU"/>
              </w:rPr>
            </w:pPr>
            <w:r w:rsidRPr="00B908D2">
              <w:rPr>
                <w:b/>
                <w:bCs/>
                <w:color w:val="FFFFFF" w:themeColor="background1"/>
                <w:sz w:val="20"/>
                <w:szCs w:val="20"/>
              </w:rPr>
              <w:t>Description</w:t>
            </w:r>
          </w:p>
        </w:tc>
        <w:tc>
          <w:tcPr>
            <w:tcW w:w="714" w:type="dxa"/>
            <w:shd w:val="clear" w:color="auto" w:fill="00B0F0"/>
            <w:vAlign w:val="top"/>
          </w:tcPr>
          <w:p w14:paraId="6907C529" w14:textId="77777777" w:rsidR="00884712" w:rsidRPr="00B908D2" w:rsidRDefault="00884712" w:rsidP="0015219F">
            <w:pPr>
              <w:spacing w:before="120" w:after="120"/>
              <w:jc w:val="center"/>
              <w:rPr>
                <w:rFonts w:cstheme="minorHAnsi"/>
                <w:b/>
                <w:bCs/>
                <w:color w:val="FFFFFF" w:themeColor="background1"/>
                <w:sz w:val="20"/>
                <w:szCs w:val="20"/>
                <w:lang w:val="en-AU" w:eastAsia="en-AU"/>
              </w:rPr>
            </w:pPr>
            <w:r w:rsidRPr="00B908D2">
              <w:rPr>
                <w:b/>
                <w:bCs/>
                <w:color w:val="FFFFFF" w:themeColor="background1"/>
                <w:sz w:val="20"/>
                <w:szCs w:val="20"/>
              </w:rPr>
              <w:t>Count</w:t>
            </w:r>
          </w:p>
        </w:tc>
      </w:tr>
      <w:tr w:rsidR="00884712" w:rsidRPr="008C764A" w14:paraId="2AEF30CD" w14:textId="77777777" w:rsidTr="0015219F">
        <w:tc>
          <w:tcPr>
            <w:tcW w:w="1129" w:type="dxa"/>
            <w:vAlign w:val="top"/>
          </w:tcPr>
          <w:p w14:paraId="750B25E6"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DUS 01</w:t>
            </w:r>
          </w:p>
        </w:tc>
        <w:tc>
          <w:tcPr>
            <w:tcW w:w="2552" w:type="dxa"/>
            <w:vAlign w:val="top"/>
          </w:tcPr>
          <w:p w14:paraId="47B9F113"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Route/position uncertainty</w:t>
            </w:r>
          </w:p>
        </w:tc>
        <w:tc>
          <w:tcPr>
            <w:tcW w:w="714" w:type="dxa"/>
            <w:vAlign w:val="top"/>
          </w:tcPr>
          <w:p w14:paraId="43623DF1" w14:textId="77777777" w:rsidR="00884712" w:rsidRPr="008C764A" w:rsidRDefault="00884712" w:rsidP="0015219F">
            <w:pPr>
              <w:spacing w:before="120" w:after="120"/>
              <w:rPr>
                <w:rFonts w:cstheme="minorHAnsi"/>
                <w:b/>
                <w:bCs/>
                <w:sz w:val="20"/>
                <w:szCs w:val="20"/>
                <w:lang w:val="en-AU" w:eastAsia="en-AU"/>
              </w:rPr>
            </w:pPr>
          </w:p>
        </w:tc>
      </w:tr>
      <w:tr w:rsidR="00884712" w:rsidRPr="008C764A" w14:paraId="2DAE3A26" w14:textId="77777777" w:rsidTr="0015219F">
        <w:tc>
          <w:tcPr>
            <w:tcW w:w="1129" w:type="dxa"/>
            <w:vAlign w:val="top"/>
          </w:tcPr>
          <w:p w14:paraId="352FF1AE"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DUS 02</w:t>
            </w:r>
          </w:p>
        </w:tc>
        <w:tc>
          <w:tcPr>
            <w:tcW w:w="2552" w:type="dxa"/>
            <w:vAlign w:val="top"/>
          </w:tcPr>
          <w:p w14:paraId="0B576573"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Route deviation</w:t>
            </w:r>
          </w:p>
        </w:tc>
        <w:tc>
          <w:tcPr>
            <w:tcW w:w="714" w:type="dxa"/>
            <w:vAlign w:val="top"/>
          </w:tcPr>
          <w:p w14:paraId="32DB99F6" w14:textId="77777777" w:rsidR="00884712" w:rsidRPr="008C764A" w:rsidRDefault="00884712" w:rsidP="0015219F">
            <w:pPr>
              <w:spacing w:before="120" w:after="120"/>
              <w:rPr>
                <w:rFonts w:cstheme="minorHAnsi"/>
                <w:b/>
                <w:bCs/>
                <w:sz w:val="20"/>
                <w:szCs w:val="20"/>
                <w:lang w:val="en-AU" w:eastAsia="en-AU"/>
              </w:rPr>
            </w:pPr>
          </w:p>
        </w:tc>
      </w:tr>
      <w:tr w:rsidR="00884712" w:rsidRPr="008C764A" w14:paraId="67FF191D" w14:textId="77777777" w:rsidTr="0015219F">
        <w:tc>
          <w:tcPr>
            <w:tcW w:w="1129" w:type="dxa"/>
            <w:vAlign w:val="top"/>
          </w:tcPr>
          <w:p w14:paraId="0FF99E19"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DUS 03</w:t>
            </w:r>
          </w:p>
        </w:tc>
        <w:tc>
          <w:tcPr>
            <w:tcW w:w="2552" w:type="dxa"/>
            <w:vAlign w:val="top"/>
          </w:tcPr>
          <w:p w14:paraId="7632D3D6"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Missed waypoint</w:t>
            </w:r>
          </w:p>
        </w:tc>
        <w:tc>
          <w:tcPr>
            <w:tcW w:w="714" w:type="dxa"/>
            <w:vAlign w:val="top"/>
          </w:tcPr>
          <w:p w14:paraId="16F59FC5" w14:textId="77777777" w:rsidR="00884712" w:rsidRPr="008C764A" w:rsidRDefault="00884712" w:rsidP="0015219F">
            <w:pPr>
              <w:spacing w:before="120" w:after="120"/>
              <w:rPr>
                <w:rFonts w:cstheme="minorHAnsi"/>
                <w:b/>
                <w:bCs/>
                <w:sz w:val="20"/>
                <w:szCs w:val="20"/>
                <w:lang w:val="en-AU" w:eastAsia="en-AU"/>
              </w:rPr>
            </w:pPr>
          </w:p>
        </w:tc>
      </w:tr>
      <w:tr w:rsidR="00884712" w:rsidRPr="008C764A" w14:paraId="398EEBD9" w14:textId="77777777" w:rsidTr="0015219F">
        <w:tc>
          <w:tcPr>
            <w:tcW w:w="1129" w:type="dxa"/>
            <w:vAlign w:val="top"/>
          </w:tcPr>
          <w:p w14:paraId="4073517D"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DUS 04</w:t>
            </w:r>
          </w:p>
        </w:tc>
        <w:tc>
          <w:tcPr>
            <w:tcW w:w="2552" w:type="dxa"/>
            <w:vAlign w:val="top"/>
          </w:tcPr>
          <w:p w14:paraId="230A0E17"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Anchoring guidance required</w:t>
            </w:r>
          </w:p>
        </w:tc>
        <w:tc>
          <w:tcPr>
            <w:tcW w:w="714" w:type="dxa"/>
            <w:vAlign w:val="top"/>
          </w:tcPr>
          <w:p w14:paraId="53CB4E7D" w14:textId="77777777" w:rsidR="00884712" w:rsidRPr="008C764A" w:rsidRDefault="00884712" w:rsidP="0015219F">
            <w:pPr>
              <w:spacing w:before="120" w:after="120"/>
              <w:rPr>
                <w:rFonts w:cstheme="minorHAnsi"/>
                <w:b/>
                <w:bCs/>
                <w:sz w:val="20"/>
                <w:szCs w:val="20"/>
                <w:lang w:val="en-AU" w:eastAsia="en-AU"/>
              </w:rPr>
            </w:pPr>
          </w:p>
        </w:tc>
      </w:tr>
      <w:tr w:rsidR="00884712" w:rsidRPr="008C764A" w14:paraId="5BAFD8E6" w14:textId="77777777" w:rsidTr="0015219F">
        <w:tc>
          <w:tcPr>
            <w:tcW w:w="1129" w:type="dxa"/>
            <w:vAlign w:val="top"/>
          </w:tcPr>
          <w:p w14:paraId="3AFAC6E3"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DUS 05</w:t>
            </w:r>
          </w:p>
        </w:tc>
        <w:tc>
          <w:tcPr>
            <w:tcW w:w="2552" w:type="dxa"/>
            <w:vAlign w:val="top"/>
          </w:tcPr>
          <w:p w14:paraId="41ACD140"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Defects/deficiencies</w:t>
            </w:r>
          </w:p>
        </w:tc>
        <w:tc>
          <w:tcPr>
            <w:tcW w:w="714" w:type="dxa"/>
            <w:vAlign w:val="top"/>
          </w:tcPr>
          <w:p w14:paraId="1DE4557A" w14:textId="77777777" w:rsidR="00884712" w:rsidRPr="008C764A" w:rsidRDefault="00884712" w:rsidP="0015219F">
            <w:pPr>
              <w:spacing w:before="120" w:after="120"/>
              <w:rPr>
                <w:rFonts w:cstheme="minorHAnsi"/>
                <w:b/>
                <w:bCs/>
                <w:sz w:val="20"/>
                <w:szCs w:val="20"/>
                <w:lang w:val="en-AU" w:eastAsia="en-AU"/>
              </w:rPr>
            </w:pPr>
          </w:p>
        </w:tc>
      </w:tr>
      <w:tr w:rsidR="00884712" w:rsidRPr="008C764A" w14:paraId="0391E610" w14:textId="77777777" w:rsidTr="0015219F">
        <w:tc>
          <w:tcPr>
            <w:tcW w:w="1129" w:type="dxa"/>
            <w:vAlign w:val="top"/>
          </w:tcPr>
          <w:p w14:paraId="0420D683"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DUS 06</w:t>
            </w:r>
          </w:p>
        </w:tc>
        <w:tc>
          <w:tcPr>
            <w:tcW w:w="2552" w:type="dxa"/>
            <w:vAlign w:val="top"/>
          </w:tcPr>
          <w:p w14:paraId="7AD202BA"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Risk of grounding</w:t>
            </w:r>
          </w:p>
        </w:tc>
        <w:tc>
          <w:tcPr>
            <w:tcW w:w="714" w:type="dxa"/>
            <w:vAlign w:val="top"/>
          </w:tcPr>
          <w:p w14:paraId="65BFA10A" w14:textId="77777777" w:rsidR="00884712" w:rsidRPr="008C764A" w:rsidRDefault="00884712" w:rsidP="0015219F">
            <w:pPr>
              <w:spacing w:before="120" w:after="120"/>
              <w:rPr>
                <w:rFonts w:cstheme="minorHAnsi"/>
                <w:b/>
                <w:bCs/>
                <w:sz w:val="20"/>
                <w:szCs w:val="20"/>
                <w:lang w:val="en-AU" w:eastAsia="en-AU"/>
              </w:rPr>
            </w:pPr>
          </w:p>
        </w:tc>
      </w:tr>
      <w:tr w:rsidR="00884712" w:rsidRPr="008C764A" w14:paraId="7DFE133B" w14:textId="77777777" w:rsidTr="0015219F">
        <w:tc>
          <w:tcPr>
            <w:tcW w:w="1129" w:type="dxa"/>
            <w:vAlign w:val="top"/>
          </w:tcPr>
          <w:p w14:paraId="0F3396BB"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DUS 07</w:t>
            </w:r>
          </w:p>
        </w:tc>
        <w:tc>
          <w:tcPr>
            <w:tcW w:w="2552" w:type="dxa"/>
            <w:vAlign w:val="top"/>
          </w:tcPr>
          <w:p w14:paraId="492A5023"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Risk of collision</w:t>
            </w:r>
          </w:p>
        </w:tc>
        <w:tc>
          <w:tcPr>
            <w:tcW w:w="714" w:type="dxa"/>
            <w:vAlign w:val="top"/>
          </w:tcPr>
          <w:p w14:paraId="77511E23" w14:textId="77777777" w:rsidR="00884712" w:rsidRPr="008C764A" w:rsidRDefault="00884712" w:rsidP="0015219F">
            <w:pPr>
              <w:spacing w:before="120" w:after="120"/>
              <w:rPr>
                <w:rFonts w:cstheme="minorHAnsi"/>
                <w:b/>
                <w:bCs/>
                <w:sz w:val="20"/>
                <w:szCs w:val="20"/>
                <w:lang w:val="en-AU" w:eastAsia="en-AU"/>
              </w:rPr>
            </w:pPr>
          </w:p>
        </w:tc>
      </w:tr>
      <w:tr w:rsidR="00884712" w:rsidRPr="008C764A" w14:paraId="2DD72E91" w14:textId="77777777" w:rsidTr="0015219F">
        <w:tc>
          <w:tcPr>
            <w:tcW w:w="1129" w:type="dxa"/>
            <w:vAlign w:val="top"/>
          </w:tcPr>
          <w:p w14:paraId="1734BBA4"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DUS 08</w:t>
            </w:r>
          </w:p>
        </w:tc>
        <w:tc>
          <w:tcPr>
            <w:tcW w:w="2552" w:type="dxa"/>
            <w:vAlign w:val="top"/>
          </w:tcPr>
          <w:p w14:paraId="5D0F4A22" w14:textId="77777777" w:rsidR="00884712" w:rsidRPr="008C764A" w:rsidRDefault="00884712" w:rsidP="0015219F">
            <w:pPr>
              <w:spacing w:before="120" w:after="120"/>
              <w:rPr>
                <w:rFonts w:cstheme="minorHAnsi"/>
                <w:b/>
                <w:bCs/>
                <w:sz w:val="20"/>
                <w:szCs w:val="20"/>
                <w:lang w:val="en-AU" w:eastAsia="en-AU"/>
              </w:rPr>
            </w:pPr>
            <w:r w:rsidRPr="008C764A">
              <w:rPr>
                <w:sz w:val="20"/>
                <w:szCs w:val="20"/>
              </w:rPr>
              <w:t>Emergency response</w:t>
            </w:r>
          </w:p>
        </w:tc>
        <w:tc>
          <w:tcPr>
            <w:tcW w:w="714" w:type="dxa"/>
            <w:vAlign w:val="top"/>
          </w:tcPr>
          <w:p w14:paraId="2E9BE61A" w14:textId="77777777" w:rsidR="00884712" w:rsidRPr="008C764A" w:rsidRDefault="00884712" w:rsidP="0015219F">
            <w:pPr>
              <w:spacing w:before="120" w:after="120"/>
              <w:rPr>
                <w:rFonts w:cstheme="minorHAnsi"/>
                <w:b/>
                <w:bCs/>
                <w:sz w:val="20"/>
                <w:szCs w:val="20"/>
                <w:lang w:val="en-AU" w:eastAsia="en-AU"/>
              </w:rPr>
            </w:pPr>
          </w:p>
        </w:tc>
      </w:tr>
    </w:tbl>
    <w:p w14:paraId="41A08905" w14:textId="77777777" w:rsidR="00884712"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4. Interaction Summary</w:t>
      </w:r>
    </w:p>
    <w:tbl>
      <w:tblPr>
        <w:tblStyle w:val="TableGrid"/>
        <w:tblW w:w="0" w:type="auto"/>
        <w:tblLayout w:type="fixed"/>
        <w:tblLook w:val="04A0" w:firstRow="1" w:lastRow="0" w:firstColumn="1" w:lastColumn="0" w:noHBand="0" w:noVBand="1"/>
      </w:tblPr>
      <w:tblGrid>
        <w:gridCol w:w="988"/>
        <w:gridCol w:w="1701"/>
        <w:gridCol w:w="992"/>
      </w:tblGrid>
      <w:tr w:rsidR="00884712" w:rsidRPr="00623809" w14:paraId="4856250C" w14:textId="77777777" w:rsidTr="0015219F">
        <w:tc>
          <w:tcPr>
            <w:tcW w:w="988" w:type="dxa"/>
            <w:shd w:val="clear" w:color="auto" w:fill="00B0F0"/>
            <w:vAlign w:val="top"/>
          </w:tcPr>
          <w:p w14:paraId="46B552E4" w14:textId="77777777" w:rsidR="00884712" w:rsidRPr="00623809" w:rsidRDefault="00884712" w:rsidP="0015219F">
            <w:pPr>
              <w:spacing w:before="120" w:after="120"/>
              <w:jc w:val="center"/>
              <w:rPr>
                <w:rFonts w:cstheme="minorHAnsi"/>
                <w:b/>
                <w:bCs/>
                <w:color w:val="FFFFFF" w:themeColor="background1"/>
                <w:sz w:val="20"/>
                <w:szCs w:val="20"/>
                <w:lang w:val="en-AU" w:eastAsia="en-AU"/>
              </w:rPr>
            </w:pPr>
            <w:r w:rsidRPr="00623809">
              <w:rPr>
                <w:b/>
                <w:bCs/>
                <w:color w:val="FFFFFF" w:themeColor="background1"/>
                <w:sz w:val="20"/>
                <w:szCs w:val="20"/>
              </w:rPr>
              <w:t>INT Code</w:t>
            </w:r>
          </w:p>
        </w:tc>
        <w:tc>
          <w:tcPr>
            <w:tcW w:w="1701" w:type="dxa"/>
            <w:shd w:val="clear" w:color="auto" w:fill="00B0F0"/>
            <w:vAlign w:val="top"/>
          </w:tcPr>
          <w:p w14:paraId="3539D902" w14:textId="77777777" w:rsidR="00884712" w:rsidRPr="00623809" w:rsidRDefault="00884712" w:rsidP="0015219F">
            <w:pPr>
              <w:spacing w:before="120" w:after="120"/>
              <w:jc w:val="center"/>
              <w:rPr>
                <w:rFonts w:cstheme="minorHAnsi"/>
                <w:b/>
                <w:bCs/>
                <w:color w:val="FFFFFF" w:themeColor="background1"/>
                <w:sz w:val="20"/>
                <w:szCs w:val="20"/>
                <w:lang w:val="en-AU" w:eastAsia="en-AU"/>
              </w:rPr>
            </w:pPr>
            <w:r w:rsidRPr="00623809">
              <w:rPr>
                <w:b/>
                <w:bCs/>
                <w:color w:val="FFFFFF" w:themeColor="background1"/>
                <w:sz w:val="20"/>
                <w:szCs w:val="20"/>
              </w:rPr>
              <w:t>Interaction Type</w:t>
            </w:r>
          </w:p>
        </w:tc>
        <w:tc>
          <w:tcPr>
            <w:tcW w:w="992" w:type="dxa"/>
            <w:shd w:val="clear" w:color="auto" w:fill="00B0F0"/>
            <w:vAlign w:val="top"/>
          </w:tcPr>
          <w:p w14:paraId="0746F5F3" w14:textId="77777777" w:rsidR="00884712" w:rsidRPr="00623809" w:rsidRDefault="00884712" w:rsidP="0015219F">
            <w:pPr>
              <w:spacing w:before="120" w:after="120"/>
              <w:jc w:val="center"/>
              <w:rPr>
                <w:rFonts w:cstheme="minorHAnsi"/>
                <w:b/>
                <w:bCs/>
                <w:color w:val="FFFFFF" w:themeColor="background1"/>
                <w:sz w:val="20"/>
                <w:szCs w:val="20"/>
                <w:lang w:val="en-AU" w:eastAsia="en-AU"/>
              </w:rPr>
            </w:pPr>
            <w:r w:rsidRPr="00623809">
              <w:rPr>
                <w:b/>
                <w:bCs/>
                <w:color w:val="FFFFFF" w:themeColor="background1"/>
                <w:sz w:val="20"/>
                <w:szCs w:val="20"/>
              </w:rPr>
              <w:t>Count</w:t>
            </w:r>
          </w:p>
        </w:tc>
      </w:tr>
      <w:tr w:rsidR="00884712" w:rsidRPr="00623809" w14:paraId="5269BC42" w14:textId="77777777" w:rsidTr="0015219F">
        <w:tc>
          <w:tcPr>
            <w:tcW w:w="988" w:type="dxa"/>
            <w:vAlign w:val="top"/>
          </w:tcPr>
          <w:p w14:paraId="2BD818EC" w14:textId="77777777" w:rsidR="00884712" w:rsidRPr="00623809" w:rsidRDefault="00884712" w:rsidP="0015219F">
            <w:pPr>
              <w:spacing w:before="120" w:after="120"/>
              <w:rPr>
                <w:rFonts w:cstheme="minorHAnsi"/>
                <w:b/>
                <w:bCs/>
                <w:sz w:val="20"/>
                <w:szCs w:val="20"/>
                <w:lang w:val="en-AU" w:eastAsia="en-AU"/>
              </w:rPr>
            </w:pPr>
            <w:r w:rsidRPr="00623809">
              <w:rPr>
                <w:sz w:val="20"/>
                <w:szCs w:val="20"/>
              </w:rPr>
              <w:t>INT 01</w:t>
            </w:r>
          </w:p>
        </w:tc>
        <w:tc>
          <w:tcPr>
            <w:tcW w:w="1701" w:type="dxa"/>
            <w:vAlign w:val="top"/>
          </w:tcPr>
          <w:p w14:paraId="1C40EE3A" w14:textId="77777777" w:rsidR="00884712" w:rsidRPr="00623809" w:rsidRDefault="00884712" w:rsidP="0015219F">
            <w:pPr>
              <w:spacing w:before="120" w:after="120"/>
              <w:rPr>
                <w:rFonts w:cstheme="minorHAnsi"/>
                <w:b/>
                <w:bCs/>
                <w:sz w:val="20"/>
                <w:szCs w:val="20"/>
                <w:lang w:val="en-AU" w:eastAsia="en-AU"/>
              </w:rPr>
            </w:pPr>
            <w:r w:rsidRPr="00623809">
              <w:rPr>
                <w:sz w:val="20"/>
                <w:szCs w:val="20"/>
              </w:rPr>
              <w:t>Advice</w:t>
            </w:r>
          </w:p>
        </w:tc>
        <w:tc>
          <w:tcPr>
            <w:tcW w:w="992" w:type="dxa"/>
            <w:vAlign w:val="top"/>
          </w:tcPr>
          <w:p w14:paraId="01FFEE68" w14:textId="77777777" w:rsidR="00884712" w:rsidRPr="00623809" w:rsidRDefault="00884712" w:rsidP="0015219F">
            <w:pPr>
              <w:spacing w:before="120" w:after="120"/>
              <w:rPr>
                <w:rFonts w:cstheme="minorHAnsi"/>
                <w:b/>
                <w:bCs/>
                <w:sz w:val="20"/>
                <w:szCs w:val="20"/>
                <w:lang w:val="en-AU" w:eastAsia="en-AU"/>
              </w:rPr>
            </w:pPr>
          </w:p>
        </w:tc>
      </w:tr>
      <w:tr w:rsidR="00884712" w:rsidRPr="00623809" w14:paraId="632C5741" w14:textId="77777777" w:rsidTr="0015219F">
        <w:tc>
          <w:tcPr>
            <w:tcW w:w="988" w:type="dxa"/>
            <w:vAlign w:val="top"/>
          </w:tcPr>
          <w:p w14:paraId="3D681DD3" w14:textId="77777777" w:rsidR="00884712" w:rsidRPr="00623809" w:rsidRDefault="00884712" w:rsidP="0015219F">
            <w:pPr>
              <w:spacing w:before="120" w:after="120"/>
              <w:rPr>
                <w:rFonts w:cstheme="minorHAnsi"/>
                <w:b/>
                <w:bCs/>
                <w:sz w:val="20"/>
                <w:szCs w:val="20"/>
                <w:lang w:val="en-AU" w:eastAsia="en-AU"/>
              </w:rPr>
            </w:pPr>
            <w:r w:rsidRPr="00623809">
              <w:rPr>
                <w:sz w:val="20"/>
                <w:szCs w:val="20"/>
              </w:rPr>
              <w:t>INT 02</w:t>
            </w:r>
          </w:p>
        </w:tc>
        <w:tc>
          <w:tcPr>
            <w:tcW w:w="1701" w:type="dxa"/>
            <w:vAlign w:val="top"/>
          </w:tcPr>
          <w:p w14:paraId="5E4CFD12" w14:textId="77777777" w:rsidR="00884712" w:rsidRPr="00623809" w:rsidRDefault="00884712" w:rsidP="0015219F">
            <w:pPr>
              <w:spacing w:before="120" w:after="120"/>
              <w:rPr>
                <w:rFonts w:cstheme="minorHAnsi"/>
                <w:b/>
                <w:bCs/>
                <w:sz w:val="20"/>
                <w:szCs w:val="20"/>
                <w:lang w:val="en-AU" w:eastAsia="en-AU"/>
              </w:rPr>
            </w:pPr>
            <w:r w:rsidRPr="00623809">
              <w:rPr>
                <w:sz w:val="20"/>
                <w:szCs w:val="20"/>
              </w:rPr>
              <w:t>Warning</w:t>
            </w:r>
          </w:p>
        </w:tc>
        <w:tc>
          <w:tcPr>
            <w:tcW w:w="992" w:type="dxa"/>
            <w:vAlign w:val="top"/>
          </w:tcPr>
          <w:p w14:paraId="4A957813" w14:textId="77777777" w:rsidR="00884712" w:rsidRPr="00623809" w:rsidRDefault="00884712" w:rsidP="0015219F">
            <w:pPr>
              <w:spacing w:before="120" w:after="120"/>
              <w:rPr>
                <w:rFonts w:cstheme="minorHAnsi"/>
                <w:b/>
                <w:bCs/>
                <w:sz w:val="20"/>
                <w:szCs w:val="20"/>
                <w:lang w:val="en-AU" w:eastAsia="en-AU"/>
              </w:rPr>
            </w:pPr>
          </w:p>
        </w:tc>
      </w:tr>
      <w:tr w:rsidR="00884712" w:rsidRPr="00623809" w14:paraId="433C4470" w14:textId="77777777" w:rsidTr="0015219F">
        <w:tc>
          <w:tcPr>
            <w:tcW w:w="988" w:type="dxa"/>
            <w:vAlign w:val="top"/>
          </w:tcPr>
          <w:p w14:paraId="371C3719" w14:textId="77777777" w:rsidR="00884712" w:rsidRPr="00623809" w:rsidRDefault="00884712" w:rsidP="0015219F">
            <w:pPr>
              <w:spacing w:before="120" w:after="120"/>
              <w:rPr>
                <w:rFonts w:cstheme="minorHAnsi"/>
                <w:b/>
                <w:bCs/>
                <w:sz w:val="20"/>
                <w:szCs w:val="20"/>
                <w:lang w:val="en-AU" w:eastAsia="en-AU"/>
              </w:rPr>
            </w:pPr>
            <w:r w:rsidRPr="00623809">
              <w:rPr>
                <w:sz w:val="20"/>
                <w:szCs w:val="20"/>
              </w:rPr>
              <w:t>INT 03</w:t>
            </w:r>
          </w:p>
        </w:tc>
        <w:tc>
          <w:tcPr>
            <w:tcW w:w="1701" w:type="dxa"/>
            <w:vAlign w:val="top"/>
          </w:tcPr>
          <w:p w14:paraId="507A95CB" w14:textId="77777777" w:rsidR="00884712" w:rsidRPr="00623809" w:rsidRDefault="00884712" w:rsidP="0015219F">
            <w:pPr>
              <w:spacing w:before="120" w:after="120"/>
              <w:rPr>
                <w:rFonts w:cstheme="minorHAnsi"/>
                <w:b/>
                <w:bCs/>
                <w:sz w:val="20"/>
                <w:szCs w:val="20"/>
                <w:lang w:val="en-AU" w:eastAsia="en-AU"/>
              </w:rPr>
            </w:pPr>
            <w:r w:rsidRPr="00623809">
              <w:rPr>
                <w:sz w:val="20"/>
                <w:szCs w:val="20"/>
              </w:rPr>
              <w:t>Instruction</w:t>
            </w:r>
          </w:p>
        </w:tc>
        <w:tc>
          <w:tcPr>
            <w:tcW w:w="992" w:type="dxa"/>
            <w:vAlign w:val="top"/>
          </w:tcPr>
          <w:p w14:paraId="09D1732D" w14:textId="77777777" w:rsidR="00884712" w:rsidRPr="00623809" w:rsidRDefault="00884712" w:rsidP="0015219F">
            <w:pPr>
              <w:spacing w:before="120" w:after="120"/>
              <w:rPr>
                <w:rFonts w:cstheme="minorHAnsi"/>
                <w:b/>
                <w:bCs/>
                <w:sz w:val="20"/>
                <w:szCs w:val="20"/>
                <w:lang w:val="en-AU" w:eastAsia="en-AU"/>
              </w:rPr>
            </w:pPr>
          </w:p>
        </w:tc>
      </w:tr>
    </w:tbl>
    <w:p w14:paraId="5F200E98" w14:textId="77777777" w:rsidR="00884712"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5. Summary of Other Measures Introduced or Changed</w:t>
      </w:r>
    </w:p>
    <w:tbl>
      <w:tblPr>
        <w:tblStyle w:val="TableGrid"/>
        <w:tblW w:w="0" w:type="auto"/>
        <w:tblLook w:val="04A0" w:firstRow="1" w:lastRow="0" w:firstColumn="1" w:lastColumn="0" w:noHBand="0" w:noVBand="1"/>
      </w:tblPr>
      <w:tblGrid>
        <w:gridCol w:w="1696"/>
        <w:gridCol w:w="1701"/>
        <w:gridCol w:w="2127"/>
        <w:gridCol w:w="1842"/>
      </w:tblGrid>
      <w:tr w:rsidR="00884712" w:rsidRPr="005065F3" w14:paraId="76F47A93" w14:textId="77777777" w:rsidTr="0015219F">
        <w:tc>
          <w:tcPr>
            <w:tcW w:w="1696" w:type="dxa"/>
            <w:shd w:val="clear" w:color="auto" w:fill="00B0F0"/>
            <w:vAlign w:val="top"/>
          </w:tcPr>
          <w:p w14:paraId="6BDCBF26" w14:textId="77777777" w:rsidR="00884712" w:rsidRPr="00573CC8" w:rsidRDefault="00884712" w:rsidP="0015219F">
            <w:pPr>
              <w:spacing w:before="120" w:after="120"/>
              <w:jc w:val="center"/>
              <w:rPr>
                <w:rFonts w:cstheme="minorHAnsi"/>
                <w:b/>
                <w:bCs/>
                <w:color w:val="FFFFFF" w:themeColor="background1"/>
                <w:sz w:val="20"/>
                <w:szCs w:val="20"/>
                <w:lang w:val="en-AU" w:eastAsia="en-AU"/>
              </w:rPr>
            </w:pPr>
            <w:r w:rsidRPr="00573CC8">
              <w:rPr>
                <w:b/>
                <w:bCs/>
                <w:color w:val="FFFFFF" w:themeColor="background1"/>
                <w:sz w:val="20"/>
                <w:szCs w:val="20"/>
              </w:rPr>
              <w:t>Effective Date</w:t>
            </w:r>
          </w:p>
        </w:tc>
        <w:tc>
          <w:tcPr>
            <w:tcW w:w="1701" w:type="dxa"/>
            <w:shd w:val="clear" w:color="auto" w:fill="00B0F0"/>
            <w:vAlign w:val="top"/>
          </w:tcPr>
          <w:p w14:paraId="0E9DFE28" w14:textId="77777777" w:rsidR="00884712" w:rsidRPr="00573CC8" w:rsidRDefault="00884712" w:rsidP="0015219F">
            <w:pPr>
              <w:spacing w:before="120" w:after="120"/>
              <w:jc w:val="center"/>
              <w:rPr>
                <w:rFonts w:cstheme="minorHAnsi"/>
                <w:b/>
                <w:bCs/>
                <w:color w:val="FFFFFF" w:themeColor="background1"/>
                <w:sz w:val="20"/>
                <w:szCs w:val="20"/>
                <w:lang w:val="en-AU" w:eastAsia="en-AU"/>
              </w:rPr>
            </w:pPr>
            <w:r w:rsidRPr="00573CC8">
              <w:rPr>
                <w:b/>
                <w:bCs/>
                <w:color w:val="FFFFFF" w:themeColor="background1"/>
                <w:sz w:val="20"/>
                <w:szCs w:val="20"/>
              </w:rPr>
              <w:t>Measure Type</w:t>
            </w:r>
          </w:p>
        </w:tc>
        <w:tc>
          <w:tcPr>
            <w:tcW w:w="2127" w:type="dxa"/>
            <w:shd w:val="clear" w:color="auto" w:fill="00B0F0"/>
            <w:vAlign w:val="top"/>
          </w:tcPr>
          <w:p w14:paraId="5E2C06FE" w14:textId="77777777" w:rsidR="00884712" w:rsidRPr="00573CC8" w:rsidRDefault="00884712" w:rsidP="0015219F">
            <w:pPr>
              <w:spacing w:before="120" w:after="120"/>
              <w:jc w:val="center"/>
              <w:rPr>
                <w:rFonts w:cstheme="minorHAnsi"/>
                <w:b/>
                <w:bCs/>
                <w:color w:val="FFFFFF" w:themeColor="background1"/>
                <w:sz w:val="20"/>
                <w:szCs w:val="20"/>
                <w:lang w:val="en-AU" w:eastAsia="en-AU"/>
              </w:rPr>
            </w:pPr>
            <w:r w:rsidRPr="00573CC8">
              <w:rPr>
                <w:b/>
                <w:bCs/>
                <w:color w:val="FFFFFF" w:themeColor="background1"/>
                <w:sz w:val="20"/>
                <w:szCs w:val="20"/>
              </w:rPr>
              <w:t>Description</w:t>
            </w:r>
          </w:p>
        </w:tc>
        <w:tc>
          <w:tcPr>
            <w:tcW w:w="1842" w:type="dxa"/>
            <w:shd w:val="clear" w:color="auto" w:fill="00B0F0"/>
            <w:vAlign w:val="top"/>
          </w:tcPr>
          <w:p w14:paraId="5A151C88" w14:textId="77777777" w:rsidR="00884712" w:rsidRPr="00573CC8" w:rsidRDefault="00884712" w:rsidP="0015219F">
            <w:pPr>
              <w:spacing w:before="120" w:after="120"/>
              <w:jc w:val="center"/>
              <w:rPr>
                <w:rFonts w:cstheme="minorHAnsi"/>
                <w:b/>
                <w:bCs/>
                <w:color w:val="FFFFFF" w:themeColor="background1"/>
                <w:sz w:val="20"/>
                <w:szCs w:val="20"/>
                <w:lang w:val="en-AU" w:eastAsia="en-AU"/>
              </w:rPr>
            </w:pPr>
            <w:r w:rsidRPr="00573CC8">
              <w:rPr>
                <w:b/>
                <w:bCs/>
                <w:color w:val="FFFFFF" w:themeColor="background1"/>
                <w:sz w:val="20"/>
                <w:szCs w:val="20"/>
              </w:rPr>
              <w:t>Area/Sector</w:t>
            </w:r>
          </w:p>
        </w:tc>
      </w:tr>
      <w:tr w:rsidR="00884712" w:rsidRPr="005065F3" w14:paraId="1C533C45" w14:textId="77777777" w:rsidTr="0015219F">
        <w:tc>
          <w:tcPr>
            <w:tcW w:w="1696" w:type="dxa"/>
          </w:tcPr>
          <w:p w14:paraId="1C0F4C32" w14:textId="77777777" w:rsidR="00884712" w:rsidRPr="005065F3" w:rsidRDefault="00884712" w:rsidP="0015219F">
            <w:pPr>
              <w:spacing w:before="120" w:after="120"/>
              <w:rPr>
                <w:rFonts w:cstheme="minorHAnsi"/>
                <w:b/>
                <w:bCs/>
                <w:sz w:val="20"/>
                <w:szCs w:val="20"/>
                <w:lang w:val="en-AU" w:eastAsia="en-AU"/>
              </w:rPr>
            </w:pPr>
          </w:p>
        </w:tc>
        <w:tc>
          <w:tcPr>
            <w:tcW w:w="1701" w:type="dxa"/>
          </w:tcPr>
          <w:p w14:paraId="11EAD822" w14:textId="77777777" w:rsidR="00884712" w:rsidRPr="005065F3" w:rsidRDefault="00884712" w:rsidP="0015219F">
            <w:pPr>
              <w:spacing w:before="120" w:after="120"/>
              <w:rPr>
                <w:rFonts w:cstheme="minorHAnsi"/>
                <w:b/>
                <w:bCs/>
                <w:sz w:val="20"/>
                <w:szCs w:val="20"/>
                <w:lang w:val="en-AU" w:eastAsia="en-AU"/>
              </w:rPr>
            </w:pPr>
          </w:p>
        </w:tc>
        <w:tc>
          <w:tcPr>
            <w:tcW w:w="2127" w:type="dxa"/>
          </w:tcPr>
          <w:p w14:paraId="79724C24" w14:textId="77777777" w:rsidR="00884712" w:rsidRPr="005065F3" w:rsidRDefault="00884712" w:rsidP="0015219F">
            <w:pPr>
              <w:spacing w:before="120" w:after="120"/>
              <w:rPr>
                <w:rFonts w:cstheme="minorHAnsi"/>
                <w:b/>
                <w:bCs/>
                <w:sz w:val="20"/>
                <w:szCs w:val="20"/>
                <w:lang w:val="en-AU" w:eastAsia="en-AU"/>
              </w:rPr>
            </w:pPr>
          </w:p>
        </w:tc>
        <w:tc>
          <w:tcPr>
            <w:tcW w:w="1842" w:type="dxa"/>
          </w:tcPr>
          <w:p w14:paraId="30DFFF55" w14:textId="77777777" w:rsidR="00884712" w:rsidRPr="005065F3" w:rsidRDefault="00884712" w:rsidP="0015219F">
            <w:pPr>
              <w:spacing w:before="120" w:after="120"/>
              <w:rPr>
                <w:rFonts w:cstheme="minorHAnsi"/>
                <w:b/>
                <w:bCs/>
                <w:sz w:val="20"/>
                <w:szCs w:val="20"/>
                <w:lang w:val="en-AU" w:eastAsia="en-AU"/>
              </w:rPr>
            </w:pPr>
          </w:p>
        </w:tc>
      </w:tr>
    </w:tbl>
    <w:p w14:paraId="403BD51E"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6. Interpretation and Commentary</w:t>
      </w:r>
    </w:p>
    <w:p w14:paraId="526BC6A0"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lastRenderedPageBreak/>
        <w:t>Provide a narrative summary describing:</w:t>
      </w:r>
    </w:p>
    <w:p w14:paraId="0BAFC317" w14:textId="77777777" w:rsidR="00884712" w:rsidRPr="002C4883" w:rsidRDefault="00884712" w:rsidP="00DA78AB">
      <w:pPr>
        <w:numPr>
          <w:ilvl w:val="0"/>
          <w:numId w:val="35"/>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key trends observed,</w:t>
      </w:r>
    </w:p>
    <w:p w14:paraId="70DC1076" w14:textId="77777777" w:rsidR="00884712" w:rsidRPr="002C4883" w:rsidRDefault="00884712" w:rsidP="00DA78AB">
      <w:pPr>
        <w:numPr>
          <w:ilvl w:val="0"/>
          <w:numId w:val="35"/>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notable events,</w:t>
      </w:r>
    </w:p>
    <w:p w14:paraId="4570672B" w14:textId="77777777" w:rsidR="00884712" w:rsidRPr="002C4883" w:rsidRDefault="00884712" w:rsidP="00DA78AB">
      <w:pPr>
        <w:numPr>
          <w:ilvl w:val="0"/>
          <w:numId w:val="35"/>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changes in vessel behaviour,</w:t>
      </w:r>
    </w:p>
    <w:p w14:paraId="0432B078" w14:textId="77777777" w:rsidR="00884712" w:rsidRPr="002C4883" w:rsidRDefault="00884712" w:rsidP="00DA78AB">
      <w:pPr>
        <w:numPr>
          <w:ilvl w:val="0"/>
          <w:numId w:val="35"/>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influence of other safety measures,</w:t>
      </w:r>
    </w:p>
    <w:p w14:paraId="27A8A8E3" w14:textId="77777777" w:rsidR="00884712" w:rsidRPr="002C4883" w:rsidRDefault="00884712" w:rsidP="00DA78AB">
      <w:pPr>
        <w:numPr>
          <w:ilvl w:val="0"/>
          <w:numId w:val="35"/>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operational insights,</w:t>
      </w:r>
    </w:p>
    <w:p w14:paraId="0C63D646" w14:textId="77777777" w:rsidR="00884712" w:rsidRPr="002C4883" w:rsidRDefault="00884712" w:rsidP="00DA78AB">
      <w:pPr>
        <w:numPr>
          <w:ilvl w:val="0"/>
          <w:numId w:val="35"/>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any recommendations for improvement.</w:t>
      </w:r>
    </w:p>
    <w:p w14:paraId="6D1FEBAE" w14:textId="77777777" w:rsidR="00884712" w:rsidRPr="002C4883" w:rsidRDefault="00884712" w:rsidP="00884712">
      <w:pPr>
        <w:spacing w:before="120" w:after="120" w:line="240" w:lineRule="auto"/>
        <w:rPr>
          <w:rFonts w:cstheme="minorHAnsi"/>
          <w:b/>
          <w:bCs/>
          <w:sz w:val="22"/>
          <w:lang w:val="en-AU" w:eastAsia="en-AU"/>
        </w:rPr>
      </w:pPr>
      <w:r w:rsidRPr="002C4883">
        <w:rPr>
          <w:rFonts w:cstheme="minorHAnsi"/>
          <w:b/>
          <w:bCs/>
          <w:sz w:val="22"/>
          <w:lang w:val="en-AU" w:eastAsia="en-AU"/>
        </w:rPr>
        <w:t>7. Supporting Data</w:t>
      </w:r>
    </w:p>
    <w:p w14:paraId="7CA17183" w14:textId="77777777" w:rsidR="00884712" w:rsidRPr="002C4883" w:rsidRDefault="00884712" w:rsidP="00884712">
      <w:p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Attach or reference:</w:t>
      </w:r>
    </w:p>
    <w:p w14:paraId="588C9FCE" w14:textId="77777777" w:rsidR="00884712" w:rsidRPr="002C4883" w:rsidRDefault="00884712" w:rsidP="00DA78AB">
      <w:pPr>
        <w:numPr>
          <w:ilvl w:val="0"/>
          <w:numId w:val="36"/>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 xml:space="preserve">the </w:t>
      </w:r>
      <w:r w:rsidRPr="002C4883">
        <w:rPr>
          <w:rFonts w:eastAsia="Times New Roman" w:cstheme="minorHAnsi"/>
          <w:b/>
          <w:bCs/>
          <w:sz w:val="22"/>
          <w:lang w:val="en-AU" w:eastAsia="en-AU"/>
        </w:rPr>
        <w:t>VTS Interaction Dataset</w:t>
      </w:r>
      <w:r w:rsidRPr="002C4883">
        <w:rPr>
          <w:rFonts w:eastAsia="Times New Roman" w:cstheme="minorHAnsi"/>
          <w:sz w:val="22"/>
          <w:lang w:val="en-AU" w:eastAsia="en-AU"/>
        </w:rPr>
        <w:t>, and</w:t>
      </w:r>
    </w:p>
    <w:p w14:paraId="25DB8D5C" w14:textId="77777777" w:rsidR="00884712" w:rsidRPr="002C4883" w:rsidRDefault="00884712" w:rsidP="00DA78AB">
      <w:pPr>
        <w:numPr>
          <w:ilvl w:val="0"/>
          <w:numId w:val="36"/>
        </w:numPr>
        <w:spacing w:before="120" w:after="120" w:line="240" w:lineRule="auto"/>
        <w:rPr>
          <w:rFonts w:eastAsia="Times New Roman" w:cstheme="minorHAnsi"/>
          <w:sz w:val="22"/>
          <w:lang w:val="en-AU" w:eastAsia="en-AU"/>
        </w:rPr>
      </w:pPr>
      <w:r w:rsidRPr="002C4883">
        <w:rPr>
          <w:rFonts w:eastAsia="Times New Roman" w:cstheme="minorHAnsi"/>
          <w:sz w:val="22"/>
          <w:lang w:val="en-AU" w:eastAsia="en-AU"/>
        </w:rPr>
        <w:t xml:space="preserve">the </w:t>
      </w:r>
      <w:r w:rsidRPr="002C4883">
        <w:rPr>
          <w:rFonts w:eastAsia="Times New Roman" w:cstheme="minorHAnsi"/>
          <w:b/>
          <w:bCs/>
          <w:sz w:val="22"/>
          <w:lang w:val="en-AU" w:eastAsia="en-AU"/>
        </w:rPr>
        <w:t>Other Measures Dataset</w:t>
      </w:r>
      <w:r w:rsidRPr="002C4883">
        <w:rPr>
          <w:rFonts w:eastAsia="Times New Roman" w:cstheme="minorHAnsi"/>
          <w:sz w:val="22"/>
          <w:lang w:val="en-AU" w:eastAsia="en-AU"/>
        </w:rPr>
        <w:t>.</w:t>
      </w:r>
    </w:p>
    <w:p w14:paraId="72CACEFF" w14:textId="77777777" w:rsidR="00884712" w:rsidRDefault="00884712" w:rsidP="00884712">
      <w:r>
        <w:br w:type="page"/>
      </w:r>
    </w:p>
    <w:p w14:paraId="6973FEE6" w14:textId="77777777" w:rsidR="00884712" w:rsidRPr="00F1116B" w:rsidRDefault="00884712" w:rsidP="00884712">
      <w:pPr>
        <w:spacing w:before="100" w:beforeAutospacing="1" w:after="100" w:afterAutospacing="1" w:line="240" w:lineRule="auto"/>
        <w:jc w:val="right"/>
        <w:outlineLvl w:val="1"/>
        <w:rPr>
          <w:b/>
          <w:bCs/>
          <w:sz w:val="32"/>
          <w:szCs w:val="32"/>
        </w:rPr>
      </w:pPr>
      <w:bookmarkStart w:id="74" w:name="_Toc235197801"/>
      <w:bookmarkStart w:id="75" w:name="_Toc238036147"/>
      <w:r w:rsidRPr="00F1116B">
        <w:rPr>
          <w:b/>
          <w:bCs/>
          <w:sz w:val="32"/>
          <w:szCs w:val="32"/>
        </w:rPr>
        <w:lastRenderedPageBreak/>
        <w:t>ANNEX E — TEMPLATE FOR INTERNAL VTS OPERATIONAL REVIEW</w:t>
      </w:r>
      <w:bookmarkEnd w:id="74"/>
      <w:bookmarkEnd w:id="75"/>
    </w:p>
    <w:p w14:paraId="2206BDE9" w14:textId="77777777" w:rsidR="00884712" w:rsidRPr="009F4DDE" w:rsidRDefault="00884712" w:rsidP="00884712">
      <w:bookmarkStart w:id="76" w:name="_Toc235196022"/>
      <w:bookmarkStart w:id="77" w:name="_Toc235197802"/>
      <w:r w:rsidRPr="009F4DDE">
        <w:t>This Annex provides a template for internal VTS operational review meetings, supporting continuous improvement.</w:t>
      </w:r>
      <w:bookmarkEnd w:id="76"/>
      <w:bookmarkEnd w:id="77"/>
    </w:p>
    <w:p w14:paraId="77B04CE3" w14:textId="77777777" w:rsidR="00884712" w:rsidRPr="009F4DDE" w:rsidRDefault="00884712" w:rsidP="00D4607C">
      <w:pPr>
        <w:spacing w:before="120" w:after="120" w:line="240" w:lineRule="auto"/>
        <w:rPr>
          <w:b/>
          <w:bCs/>
        </w:rPr>
      </w:pPr>
      <w:bookmarkStart w:id="78" w:name="_Toc235196023"/>
      <w:r w:rsidRPr="009F4DDE">
        <w:rPr>
          <w:b/>
          <w:bCs/>
        </w:rPr>
        <w:t>1. Review Details</w:t>
      </w:r>
      <w:bookmarkEnd w:id="78"/>
    </w:p>
    <w:p w14:paraId="418297FA" w14:textId="77777777" w:rsidR="00884712" w:rsidRPr="00016031" w:rsidRDefault="00884712" w:rsidP="00DA78AB">
      <w:pPr>
        <w:pStyle w:val="ListParagraph"/>
        <w:numPr>
          <w:ilvl w:val="0"/>
          <w:numId w:val="65"/>
        </w:numPr>
      </w:pPr>
      <w:bookmarkStart w:id="79" w:name="_Toc235196024"/>
      <w:r w:rsidRPr="00016031">
        <w:t>Date:</w:t>
      </w:r>
      <w:bookmarkEnd w:id="79"/>
    </w:p>
    <w:p w14:paraId="4A0D20DF" w14:textId="77777777" w:rsidR="00884712" w:rsidRPr="00016031" w:rsidRDefault="00884712" w:rsidP="00DA78AB">
      <w:pPr>
        <w:pStyle w:val="ListParagraph"/>
        <w:numPr>
          <w:ilvl w:val="0"/>
          <w:numId w:val="65"/>
        </w:numPr>
      </w:pPr>
      <w:bookmarkStart w:id="80" w:name="_Toc235196025"/>
      <w:r w:rsidRPr="00016031">
        <w:t>VTS Centre:</w:t>
      </w:r>
      <w:bookmarkEnd w:id="80"/>
    </w:p>
    <w:p w14:paraId="74B2D6B0" w14:textId="77777777" w:rsidR="00884712" w:rsidRPr="00016031" w:rsidRDefault="00884712" w:rsidP="00DA78AB">
      <w:pPr>
        <w:pStyle w:val="ListParagraph"/>
        <w:numPr>
          <w:ilvl w:val="0"/>
          <w:numId w:val="65"/>
        </w:numPr>
      </w:pPr>
      <w:bookmarkStart w:id="81" w:name="_Toc235196026"/>
      <w:r w:rsidRPr="00016031">
        <w:t>Participants:</w:t>
      </w:r>
      <w:bookmarkEnd w:id="81"/>
    </w:p>
    <w:p w14:paraId="0BE30950" w14:textId="77777777" w:rsidR="00884712" w:rsidRPr="00016031" w:rsidRDefault="00884712" w:rsidP="00DA78AB">
      <w:pPr>
        <w:pStyle w:val="ListParagraph"/>
        <w:numPr>
          <w:ilvl w:val="0"/>
          <w:numId w:val="65"/>
        </w:numPr>
      </w:pPr>
      <w:bookmarkStart w:id="82" w:name="_Toc235196027"/>
      <w:r w:rsidRPr="00016031">
        <w:t>Reporting Period:</w:t>
      </w:r>
      <w:bookmarkEnd w:id="82"/>
    </w:p>
    <w:p w14:paraId="1FE900C8" w14:textId="77777777" w:rsidR="00884712" w:rsidRPr="001430D7" w:rsidRDefault="00884712" w:rsidP="00D4607C">
      <w:pPr>
        <w:spacing w:before="120" w:after="120" w:line="240" w:lineRule="auto"/>
        <w:rPr>
          <w:b/>
          <w:bCs/>
        </w:rPr>
      </w:pPr>
      <w:bookmarkStart w:id="83" w:name="_Toc235196028"/>
      <w:r w:rsidRPr="001430D7">
        <w:rPr>
          <w:b/>
          <w:bCs/>
        </w:rPr>
        <w:t>2. Summary of Developing Unsafe Situations</w:t>
      </w:r>
      <w:bookmarkEnd w:id="83"/>
    </w:p>
    <w:p w14:paraId="48CFAD68" w14:textId="77777777" w:rsidR="00884712" w:rsidRPr="001430D7" w:rsidRDefault="00884712" w:rsidP="00DA78AB">
      <w:pPr>
        <w:pStyle w:val="ListParagraph"/>
        <w:numPr>
          <w:ilvl w:val="0"/>
          <w:numId w:val="59"/>
        </w:numPr>
      </w:pPr>
      <w:bookmarkStart w:id="84" w:name="_Toc235196029"/>
      <w:r w:rsidRPr="001430D7">
        <w:t>Total recorded</w:t>
      </w:r>
      <w:bookmarkEnd w:id="84"/>
    </w:p>
    <w:p w14:paraId="623C43D3" w14:textId="77777777" w:rsidR="00884712" w:rsidRPr="001430D7" w:rsidRDefault="00884712" w:rsidP="00DA78AB">
      <w:pPr>
        <w:pStyle w:val="ListParagraph"/>
        <w:numPr>
          <w:ilvl w:val="0"/>
          <w:numId w:val="59"/>
        </w:numPr>
      </w:pPr>
      <w:bookmarkStart w:id="85" w:name="_Toc235196030"/>
      <w:r w:rsidRPr="001430D7">
        <w:t>Most frequent DUS codes</w:t>
      </w:r>
      <w:bookmarkEnd w:id="85"/>
    </w:p>
    <w:p w14:paraId="3D02D5B6" w14:textId="77777777" w:rsidR="00884712" w:rsidRPr="001430D7" w:rsidRDefault="00884712" w:rsidP="00DA78AB">
      <w:pPr>
        <w:pStyle w:val="ListParagraph"/>
        <w:numPr>
          <w:ilvl w:val="0"/>
          <w:numId w:val="59"/>
        </w:numPr>
      </w:pPr>
      <w:bookmarkStart w:id="86" w:name="_Toc235196031"/>
      <w:r w:rsidRPr="001430D7">
        <w:t>Recurring patterns</w:t>
      </w:r>
      <w:bookmarkEnd w:id="86"/>
    </w:p>
    <w:p w14:paraId="30CD7BB6" w14:textId="77777777" w:rsidR="00884712" w:rsidRPr="001430D7" w:rsidRDefault="00884712" w:rsidP="00DA78AB">
      <w:pPr>
        <w:pStyle w:val="ListParagraph"/>
        <w:numPr>
          <w:ilvl w:val="0"/>
          <w:numId w:val="59"/>
        </w:numPr>
      </w:pPr>
      <w:bookmarkStart w:id="87" w:name="_Toc235196032"/>
      <w:r w:rsidRPr="001430D7">
        <w:t>Sector</w:t>
      </w:r>
      <w:r w:rsidRPr="001430D7">
        <w:rPr>
          <w:rFonts w:ascii="Cambria Math" w:hAnsi="Cambria Math" w:cs="Cambria Math"/>
        </w:rPr>
        <w:t>‑</w:t>
      </w:r>
      <w:r w:rsidRPr="001430D7">
        <w:t>specific observations</w:t>
      </w:r>
      <w:bookmarkEnd w:id="87"/>
    </w:p>
    <w:p w14:paraId="560FD1BA" w14:textId="77777777" w:rsidR="00884712" w:rsidRPr="001430D7" w:rsidRDefault="00884712" w:rsidP="00D4607C">
      <w:pPr>
        <w:spacing w:before="120" w:after="120" w:line="240" w:lineRule="auto"/>
        <w:rPr>
          <w:b/>
          <w:bCs/>
        </w:rPr>
      </w:pPr>
      <w:bookmarkStart w:id="88" w:name="_Toc235196033"/>
      <w:r w:rsidRPr="001430D7">
        <w:rPr>
          <w:b/>
          <w:bCs/>
        </w:rPr>
        <w:t>3. Summary of VTS Interactions</w:t>
      </w:r>
      <w:bookmarkEnd w:id="88"/>
    </w:p>
    <w:p w14:paraId="37EDB9E4" w14:textId="77777777" w:rsidR="00884712" w:rsidRPr="001430D7" w:rsidRDefault="00884712" w:rsidP="00DA78AB">
      <w:pPr>
        <w:pStyle w:val="ListParagraph"/>
        <w:numPr>
          <w:ilvl w:val="0"/>
          <w:numId w:val="60"/>
        </w:numPr>
      </w:pPr>
      <w:bookmarkStart w:id="89" w:name="_Toc235196034"/>
      <w:r w:rsidRPr="001430D7">
        <w:t>Total interactions</w:t>
      </w:r>
      <w:bookmarkEnd w:id="89"/>
    </w:p>
    <w:p w14:paraId="36013A31" w14:textId="77777777" w:rsidR="00884712" w:rsidRPr="001430D7" w:rsidRDefault="00884712" w:rsidP="00DA78AB">
      <w:pPr>
        <w:pStyle w:val="ListParagraph"/>
        <w:numPr>
          <w:ilvl w:val="0"/>
          <w:numId w:val="60"/>
        </w:numPr>
      </w:pPr>
      <w:bookmarkStart w:id="90" w:name="_Toc235196035"/>
      <w:r w:rsidRPr="001430D7">
        <w:t>Interaction types (A/W/I)</w:t>
      </w:r>
      <w:bookmarkEnd w:id="90"/>
    </w:p>
    <w:p w14:paraId="682245E3" w14:textId="77777777" w:rsidR="00884712" w:rsidRPr="001430D7" w:rsidRDefault="00884712" w:rsidP="00DA78AB">
      <w:pPr>
        <w:pStyle w:val="ListParagraph"/>
        <w:numPr>
          <w:ilvl w:val="0"/>
          <w:numId w:val="60"/>
        </w:numPr>
      </w:pPr>
      <w:bookmarkStart w:id="91" w:name="_Toc235196036"/>
      <w:r w:rsidRPr="001430D7">
        <w:t>Escalations</w:t>
      </w:r>
      <w:bookmarkEnd w:id="91"/>
    </w:p>
    <w:p w14:paraId="05DFF860" w14:textId="77777777" w:rsidR="00884712" w:rsidRPr="001430D7" w:rsidRDefault="00884712" w:rsidP="00DA78AB">
      <w:pPr>
        <w:pStyle w:val="ListParagraph"/>
        <w:numPr>
          <w:ilvl w:val="0"/>
          <w:numId w:val="60"/>
        </w:numPr>
      </w:pPr>
      <w:bookmarkStart w:id="92" w:name="_Toc235196037"/>
      <w:r w:rsidRPr="001430D7">
        <w:t>VTS</w:t>
      </w:r>
      <w:r w:rsidRPr="001430D7">
        <w:rPr>
          <w:rFonts w:ascii="Cambria Math" w:hAnsi="Cambria Math" w:cs="Cambria Math"/>
        </w:rPr>
        <w:t>‑</w:t>
      </w:r>
      <w:r w:rsidRPr="001430D7">
        <w:t>attributable outcomes</w:t>
      </w:r>
      <w:bookmarkEnd w:id="92"/>
    </w:p>
    <w:p w14:paraId="7C48255B" w14:textId="77777777" w:rsidR="00884712" w:rsidRPr="001430D7" w:rsidRDefault="00884712" w:rsidP="00D4607C">
      <w:pPr>
        <w:spacing w:before="120" w:after="120" w:line="240" w:lineRule="auto"/>
        <w:rPr>
          <w:b/>
          <w:bCs/>
        </w:rPr>
      </w:pPr>
      <w:bookmarkStart w:id="93" w:name="_Toc235196038"/>
      <w:r w:rsidRPr="001430D7">
        <w:rPr>
          <w:b/>
          <w:bCs/>
        </w:rPr>
        <w:t>4. Operational Insights</w:t>
      </w:r>
      <w:bookmarkEnd w:id="93"/>
    </w:p>
    <w:p w14:paraId="76CE13E2" w14:textId="77777777" w:rsidR="00884712" w:rsidRPr="001430D7" w:rsidRDefault="00884712" w:rsidP="00DA78AB">
      <w:pPr>
        <w:pStyle w:val="ListParagraph"/>
        <w:numPr>
          <w:ilvl w:val="0"/>
          <w:numId w:val="61"/>
        </w:numPr>
      </w:pPr>
      <w:bookmarkStart w:id="94" w:name="_Toc235196039"/>
      <w:r w:rsidRPr="001430D7">
        <w:t>Situations requiring escalation</w:t>
      </w:r>
      <w:bookmarkEnd w:id="94"/>
    </w:p>
    <w:p w14:paraId="5ADDC0CF" w14:textId="77777777" w:rsidR="00884712" w:rsidRPr="001430D7" w:rsidRDefault="00884712" w:rsidP="00DA78AB">
      <w:pPr>
        <w:pStyle w:val="ListParagraph"/>
        <w:numPr>
          <w:ilvl w:val="0"/>
          <w:numId w:val="61"/>
        </w:numPr>
      </w:pPr>
      <w:bookmarkStart w:id="95" w:name="_Toc235196040"/>
      <w:r w:rsidRPr="001430D7">
        <w:t>Situations resolved without VTS intervention</w:t>
      </w:r>
      <w:bookmarkEnd w:id="95"/>
    </w:p>
    <w:p w14:paraId="083A9AD9" w14:textId="77777777" w:rsidR="00884712" w:rsidRPr="001430D7" w:rsidRDefault="00884712" w:rsidP="00DA78AB">
      <w:pPr>
        <w:pStyle w:val="ListParagraph"/>
        <w:numPr>
          <w:ilvl w:val="0"/>
          <w:numId w:val="61"/>
        </w:numPr>
      </w:pPr>
      <w:bookmarkStart w:id="96" w:name="_Toc235196041"/>
      <w:r w:rsidRPr="001430D7">
        <w:t>Communication challenges</w:t>
      </w:r>
      <w:bookmarkEnd w:id="96"/>
    </w:p>
    <w:p w14:paraId="4B531B8C" w14:textId="77777777" w:rsidR="00884712" w:rsidRPr="001430D7" w:rsidRDefault="00884712" w:rsidP="00DA78AB">
      <w:pPr>
        <w:pStyle w:val="ListParagraph"/>
        <w:numPr>
          <w:ilvl w:val="0"/>
          <w:numId w:val="61"/>
        </w:numPr>
      </w:pPr>
      <w:bookmarkStart w:id="97" w:name="_Toc235196042"/>
      <w:r w:rsidRPr="001430D7">
        <w:t>DST performance</w:t>
      </w:r>
      <w:bookmarkEnd w:id="97"/>
    </w:p>
    <w:p w14:paraId="4E54A3D9" w14:textId="77777777" w:rsidR="00884712" w:rsidRPr="001430D7" w:rsidRDefault="00884712" w:rsidP="00D4607C">
      <w:pPr>
        <w:spacing w:before="120" w:after="120" w:line="240" w:lineRule="auto"/>
        <w:rPr>
          <w:b/>
          <w:bCs/>
        </w:rPr>
      </w:pPr>
      <w:bookmarkStart w:id="98" w:name="_Toc235196043"/>
      <w:r w:rsidRPr="001430D7">
        <w:rPr>
          <w:b/>
          <w:bCs/>
        </w:rPr>
        <w:t>5. Training and Competency</w:t>
      </w:r>
      <w:bookmarkEnd w:id="98"/>
    </w:p>
    <w:p w14:paraId="201E9B71" w14:textId="77777777" w:rsidR="00884712" w:rsidRPr="001430D7" w:rsidRDefault="00884712" w:rsidP="00DA78AB">
      <w:pPr>
        <w:pStyle w:val="ListParagraph"/>
        <w:numPr>
          <w:ilvl w:val="0"/>
          <w:numId w:val="62"/>
        </w:numPr>
      </w:pPr>
      <w:bookmarkStart w:id="99" w:name="_Toc235196044"/>
      <w:r w:rsidRPr="001430D7">
        <w:t>Identified training needs</w:t>
      </w:r>
      <w:bookmarkEnd w:id="99"/>
    </w:p>
    <w:p w14:paraId="513E0F33" w14:textId="77777777" w:rsidR="00884712" w:rsidRPr="001430D7" w:rsidRDefault="00884712" w:rsidP="00DA78AB">
      <w:pPr>
        <w:pStyle w:val="ListParagraph"/>
        <w:numPr>
          <w:ilvl w:val="0"/>
          <w:numId w:val="62"/>
        </w:numPr>
      </w:pPr>
      <w:bookmarkStart w:id="100" w:name="_Toc235196045"/>
      <w:r w:rsidRPr="001430D7">
        <w:t>Operator performance observations</w:t>
      </w:r>
      <w:bookmarkEnd w:id="100"/>
    </w:p>
    <w:p w14:paraId="54D9E680" w14:textId="77777777" w:rsidR="00884712" w:rsidRPr="001430D7" w:rsidRDefault="00884712" w:rsidP="00DA78AB">
      <w:pPr>
        <w:pStyle w:val="ListParagraph"/>
        <w:numPr>
          <w:ilvl w:val="0"/>
          <w:numId w:val="62"/>
        </w:numPr>
      </w:pPr>
      <w:bookmarkStart w:id="101" w:name="_Toc235196046"/>
      <w:r w:rsidRPr="001430D7">
        <w:t>Recommendations</w:t>
      </w:r>
      <w:bookmarkEnd w:id="101"/>
    </w:p>
    <w:p w14:paraId="466CA793" w14:textId="77777777" w:rsidR="00884712" w:rsidRPr="001430D7" w:rsidRDefault="00884712" w:rsidP="00DA78AB">
      <w:pPr>
        <w:pStyle w:val="ListParagraph"/>
        <w:numPr>
          <w:ilvl w:val="0"/>
          <w:numId w:val="62"/>
        </w:numPr>
      </w:pPr>
      <w:bookmarkStart w:id="102" w:name="_Toc235196047"/>
      <w:r w:rsidRPr="001430D7">
        <w:t>Procedural Review</w:t>
      </w:r>
      <w:bookmarkEnd w:id="102"/>
    </w:p>
    <w:p w14:paraId="51657B88" w14:textId="77777777" w:rsidR="00884712" w:rsidRPr="001430D7" w:rsidRDefault="00884712" w:rsidP="00DA78AB">
      <w:pPr>
        <w:pStyle w:val="ListParagraph"/>
        <w:numPr>
          <w:ilvl w:val="0"/>
          <w:numId w:val="62"/>
        </w:numPr>
      </w:pPr>
      <w:bookmarkStart w:id="103" w:name="_Toc235196048"/>
      <w:r w:rsidRPr="001430D7">
        <w:t>Procedures followed</w:t>
      </w:r>
      <w:bookmarkEnd w:id="103"/>
    </w:p>
    <w:p w14:paraId="3D40F509" w14:textId="77777777" w:rsidR="00884712" w:rsidRPr="001430D7" w:rsidRDefault="00884712" w:rsidP="00DA78AB">
      <w:pPr>
        <w:pStyle w:val="ListParagraph"/>
        <w:numPr>
          <w:ilvl w:val="0"/>
          <w:numId w:val="62"/>
        </w:numPr>
      </w:pPr>
      <w:bookmarkStart w:id="104" w:name="_Toc235196049"/>
      <w:r w:rsidRPr="001430D7">
        <w:t>Deviations</w:t>
      </w:r>
      <w:bookmarkEnd w:id="104"/>
    </w:p>
    <w:p w14:paraId="000531F1" w14:textId="77777777" w:rsidR="00884712" w:rsidRPr="001430D7" w:rsidRDefault="00884712" w:rsidP="00DA78AB">
      <w:pPr>
        <w:pStyle w:val="ListParagraph"/>
        <w:numPr>
          <w:ilvl w:val="0"/>
          <w:numId w:val="62"/>
        </w:numPr>
      </w:pPr>
      <w:bookmarkStart w:id="105" w:name="_Toc235196050"/>
      <w:r w:rsidRPr="001430D7">
        <w:t>Recommendations for updates</w:t>
      </w:r>
      <w:bookmarkEnd w:id="105"/>
    </w:p>
    <w:p w14:paraId="62598B98" w14:textId="77777777" w:rsidR="00884712" w:rsidRPr="001430D7" w:rsidRDefault="00884712" w:rsidP="00D4607C">
      <w:pPr>
        <w:spacing w:before="120" w:after="120" w:line="240" w:lineRule="auto"/>
        <w:rPr>
          <w:b/>
          <w:bCs/>
        </w:rPr>
      </w:pPr>
      <w:bookmarkStart w:id="106" w:name="_Toc235196051"/>
      <w:r w:rsidRPr="001430D7">
        <w:rPr>
          <w:b/>
          <w:bCs/>
        </w:rPr>
        <w:t>7. Safety System Context</w:t>
      </w:r>
      <w:bookmarkEnd w:id="106"/>
    </w:p>
    <w:p w14:paraId="204D2408" w14:textId="77777777" w:rsidR="00884712" w:rsidRPr="001430D7" w:rsidRDefault="00884712" w:rsidP="00DA78AB">
      <w:pPr>
        <w:pStyle w:val="ListParagraph"/>
        <w:numPr>
          <w:ilvl w:val="0"/>
          <w:numId w:val="63"/>
        </w:numPr>
      </w:pPr>
      <w:bookmarkStart w:id="107" w:name="_Toc235196052"/>
      <w:r w:rsidRPr="001430D7">
        <w:t>Changes in associated safety measures</w:t>
      </w:r>
      <w:bookmarkEnd w:id="107"/>
    </w:p>
    <w:p w14:paraId="4A6C1821" w14:textId="77777777" w:rsidR="00884712" w:rsidRPr="001430D7" w:rsidRDefault="00884712" w:rsidP="00DA78AB">
      <w:pPr>
        <w:pStyle w:val="ListParagraph"/>
        <w:numPr>
          <w:ilvl w:val="0"/>
          <w:numId w:val="63"/>
        </w:numPr>
      </w:pPr>
      <w:bookmarkStart w:id="108" w:name="_Toc235196053"/>
      <w:r w:rsidRPr="001430D7">
        <w:t>External influences</w:t>
      </w:r>
      <w:bookmarkEnd w:id="108"/>
    </w:p>
    <w:p w14:paraId="2FE67FEF" w14:textId="77777777" w:rsidR="00884712" w:rsidRPr="001430D7" w:rsidRDefault="00884712" w:rsidP="00DA78AB">
      <w:pPr>
        <w:pStyle w:val="ListParagraph"/>
        <w:numPr>
          <w:ilvl w:val="0"/>
          <w:numId w:val="63"/>
        </w:numPr>
      </w:pPr>
      <w:bookmarkStart w:id="109" w:name="_Toc235196054"/>
      <w:r w:rsidRPr="001430D7">
        <w:t>Port developments</w:t>
      </w:r>
      <w:bookmarkEnd w:id="109"/>
    </w:p>
    <w:p w14:paraId="38C6B46A" w14:textId="77777777" w:rsidR="00884712" w:rsidRPr="001430D7" w:rsidRDefault="00884712" w:rsidP="00D4607C">
      <w:pPr>
        <w:spacing w:before="120" w:after="120" w:line="240" w:lineRule="auto"/>
        <w:rPr>
          <w:b/>
          <w:bCs/>
        </w:rPr>
      </w:pPr>
      <w:bookmarkStart w:id="110" w:name="_Toc235196055"/>
      <w:r w:rsidRPr="001430D7">
        <w:rPr>
          <w:b/>
          <w:bCs/>
        </w:rPr>
        <w:t>8. Actions and Recommendations</w:t>
      </w:r>
      <w:bookmarkEnd w:id="110"/>
    </w:p>
    <w:p w14:paraId="3A041003" w14:textId="77777777" w:rsidR="00884712" w:rsidRPr="001430D7" w:rsidRDefault="00884712" w:rsidP="00DA78AB">
      <w:pPr>
        <w:pStyle w:val="ListParagraph"/>
        <w:numPr>
          <w:ilvl w:val="0"/>
          <w:numId w:val="64"/>
        </w:numPr>
      </w:pPr>
      <w:bookmarkStart w:id="111" w:name="_Toc235196056"/>
      <w:r w:rsidRPr="001430D7">
        <w:t>Immediate actions</w:t>
      </w:r>
      <w:bookmarkEnd w:id="111"/>
    </w:p>
    <w:p w14:paraId="48E72432" w14:textId="77777777" w:rsidR="00884712" w:rsidRPr="001430D7" w:rsidRDefault="00884712" w:rsidP="00DA78AB">
      <w:pPr>
        <w:pStyle w:val="ListParagraph"/>
        <w:numPr>
          <w:ilvl w:val="0"/>
          <w:numId w:val="64"/>
        </w:numPr>
      </w:pPr>
      <w:bookmarkStart w:id="112" w:name="_Toc235196057"/>
      <w:r w:rsidRPr="001430D7">
        <w:t>Medium</w:t>
      </w:r>
      <w:r w:rsidRPr="001430D7">
        <w:rPr>
          <w:rFonts w:ascii="Cambria Math" w:hAnsi="Cambria Math" w:cs="Cambria Math"/>
        </w:rPr>
        <w:t>‑</w:t>
      </w:r>
      <w:r w:rsidRPr="001430D7">
        <w:t>term improvements</w:t>
      </w:r>
      <w:bookmarkEnd w:id="112"/>
    </w:p>
    <w:p w14:paraId="66647B96" w14:textId="77777777" w:rsidR="00884712" w:rsidRPr="00505EDC" w:rsidRDefault="00884712" w:rsidP="00DA78AB">
      <w:pPr>
        <w:pStyle w:val="ListParagraph"/>
        <w:numPr>
          <w:ilvl w:val="0"/>
          <w:numId w:val="64"/>
        </w:numPr>
        <w:rPr>
          <w:b/>
          <w:bCs/>
        </w:rPr>
      </w:pPr>
      <w:bookmarkStart w:id="113" w:name="_Toc235196058"/>
      <w:r w:rsidRPr="001430D7">
        <w:t>Long</w:t>
      </w:r>
      <w:r w:rsidRPr="00505EDC">
        <w:rPr>
          <w:rFonts w:ascii="Cambria Math" w:hAnsi="Cambria Math" w:cs="Cambria Math"/>
        </w:rPr>
        <w:t>‑</w:t>
      </w:r>
      <w:r w:rsidRPr="001430D7">
        <w:t>term considerations</w:t>
      </w:r>
      <w:bookmarkEnd w:id="113"/>
      <w:r w:rsidRPr="00505EDC">
        <w:rPr>
          <w:b/>
          <w:bCs/>
        </w:rPr>
        <w:br w:type="page"/>
      </w:r>
    </w:p>
    <w:p w14:paraId="37E61923" w14:textId="77777777" w:rsidR="00884712" w:rsidRPr="00505EDC" w:rsidRDefault="00884712" w:rsidP="00884712">
      <w:pPr>
        <w:spacing w:before="100" w:beforeAutospacing="1" w:after="100" w:afterAutospacing="1" w:line="240" w:lineRule="auto"/>
        <w:jc w:val="right"/>
        <w:outlineLvl w:val="1"/>
        <w:rPr>
          <w:b/>
          <w:bCs/>
          <w:sz w:val="32"/>
          <w:szCs w:val="32"/>
        </w:rPr>
      </w:pPr>
      <w:bookmarkStart w:id="114" w:name="_Toc238036148"/>
      <w:r w:rsidRPr="00505EDC">
        <w:rPr>
          <w:b/>
          <w:bCs/>
          <w:sz w:val="32"/>
          <w:szCs w:val="32"/>
        </w:rPr>
        <w:lastRenderedPageBreak/>
        <w:t>ANNEX F — EXAMPLE GRAPHS</w:t>
      </w:r>
      <w:bookmarkEnd w:id="114"/>
    </w:p>
    <w:p w14:paraId="115F1FEC" w14:textId="77777777" w:rsidR="00884712" w:rsidRDefault="00884712" w:rsidP="00884712">
      <w:pPr>
        <w:pStyle w:val="BodyText"/>
      </w:pPr>
      <w:r>
        <w:t>This Annex illustrates how time</w:t>
      </w:r>
      <w:r>
        <w:rPr>
          <w:rFonts w:ascii="Cambria Math" w:hAnsi="Cambria Math" w:cs="Cambria Math"/>
        </w:rPr>
        <w:t>‑</w:t>
      </w:r>
      <w:r>
        <w:t>series data may be visualised.</w:t>
      </w:r>
    </w:p>
    <w:p w14:paraId="095849CC" w14:textId="1BCBEA77" w:rsidR="00884712" w:rsidRPr="009756D6" w:rsidRDefault="00884712" w:rsidP="00884712">
      <w:pPr>
        <w:pStyle w:val="BodyText"/>
        <w:rPr>
          <w:b/>
          <w:bCs/>
        </w:rPr>
      </w:pPr>
      <w:r w:rsidRPr="009756D6">
        <w:rPr>
          <w:b/>
          <w:bCs/>
        </w:rPr>
        <w:t>Graph Types</w:t>
      </w:r>
      <w:r w:rsidR="00060B15">
        <w:rPr>
          <w:b/>
          <w:bCs/>
        </w:rPr>
        <w:t xml:space="preserve"> </w:t>
      </w:r>
      <w:r w:rsidR="00113EAC" w:rsidRPr="00113EAC">
        <w:rPr>
          <w:b/>
          <w:bCs/>
          <w:highlight w:val="yellow"/>
        </w:rPr>
        <w:t>&lt;</w:t>
      </w:r>
      <w:r w:rsidR="00144794">
        <w:rPr>
          <w:b/>
          <w:bCs/>
          <w:highlight w:val="yellow"/>
        </w:rPr>
        <w:t>to be developed</w:t>
      </w:r>
      <w:r w:rsidR="00113EAC" w:rsidRPr="00113EAC">
        <w:rPr>
          <w:b/>
          <w:bCs/>
          <w:highlight w:val="yellow"/>
        </w:rPr>
        <w:t>&gt;</w:t>
      </w:r>
    </w:p>
    <w:p w14:paraId="1B13DF45" w14:textId="77777777" w:rsidR="00884712" w:rsidRPr="009756D6" w:rsidRDefault="00884712" w:rsidP="00DA78AB">
      <w:pPr>
        <w:pStyle w:val="BodyText"/>
        <w:numPr>
          <w:ilvl w:val="0"/>
          <w:numId w:val="55"/>
        </w:numPr>
        <w:rPr>
          <w:b/>
          <w:bCs/>
        </w:rPr>
      </w:pPr>
      <w:r w:rsidRPr="009756D6">
        <w:rPr>
          <w:b/>
          <w:bCs/>
        </w:rPr>
        <w:t>Developing Unsafe Situations</w:t>
      </w:r>
      <w:r>
        <w:rPr>
          <w:b/>
          <w:bCs/>
        </w:rPr>
        <w:t xml:space="preserve"> (Annual Trend)</w:t>
      </w:r>
    </w:p>
    <w:p w14:paraId="64690A78" w14:textId="77777777" w:rsidR="00884712" w:rsidRDefault="00884712" w:rsidP="00DA78AB">
      <w:pPr>
        <w:pStyle w:val="BodyText"/>
        <w:numPr>
          <w:ilvl w:val="0"/>
          <w:numId w:val="54"/>
        </w:numPr>
      </w:pPr>
      <w:r>
        <w:t>Shows total DUS events per year</w:t>
      </w:r>
    </w:p>
    <w:p w14:paraId="2CC38479" w14:textId="77777777" w:rsidR="00884712" w:rsidRDefault="00884712" w:rsidP="00DA78AB">
      <w:pPr>
        <w:pStyle w:val="BodyText"/>
        <w:numPr>
          <w:ilvl w:val="0"/>
          <w:numId w:val="54"/>
        </w:numPr>
      </w:pPr>
      <w:r>
        <w:t>Highlights long</w:t>
      </w:r>
      <w:r>
        <w:rPr>
          <w:rFonts w:ascii="Cambria Math" w:hAnsi="Cambria Math" w:cs="Cambria Math"/>
        </w:rPr>
        <w:t>‑</w:t>
      </w:r>
      <w:r>
        <w:t>term trends</w:t>
      </w:r>
    </w:p>
    <w:p w14:paraId="63BDD87E" w14:textId="77777777" w:rsidR="00884712" w:rsidRPr="009756D6" w:rsidRDefault="00884712" w:rsidP="00DA78AB">
      <w:pPr>
        <w:pStyle w:val="BodyText"/>
        <w:numPr>
          <w:ilvl w:val="0"/>
          <w:numId w:val="55"/>
        </w:numPr>
        <w:rPr>
          <w:b/>
          <w:bCs/>
        </w:rPr>
      </w:pPr>
      <w:r w:rsidRPr="009756D6">
        <w:rPr>
          <w:b/>
          <w:bCs/>
        </w:rPr>
        <w:t>Interaction Types (Advice/Warning/Instruction)</w:t>
      </w:r>
    </w:p>
    <w:p w14:paraId="05273F01" w14:textId="77777777" w:rsidR="00884712" w:rsidRDefault="00884712" w:rsidP="00DA78AB">
      <w:pPr>
        <w:pStyle w:val="BodyText"/>
        <w:numPr>
          <w:ilvl w:val="0"/>
          <w:numId w:val="56"/>
        </w:numPr>
      </w:pPr>
      <w:r>
        <w:t>Shows distribution of interaction types</w:t>
      </w:r>
    </w:p>
    <w:p w14:paraId="4DA8CC0D" w14:textId="77777777" w:rsidR="00884712" w:rsidRDefault="00884712" w:rsidP="00DA78AB">
      <w:pPr>
        <w:pStyle w:val="BodyText"/>
        <w:numPr>
          <w:ilvl w:val="0"/>
          <w:numId w:val="56"/>
        </w:numPr>
      </w:pPr>
      <w:r>
        <w:t>Identifies escalation patterns</w:t>
      </w:r>
    </w:p>
    <w:p w14:paraId="5FA8DB86" w14:textId="77777777" w:rsidR="00884712" w:rsidRPr="00C65D18" w:rsidRDefault="00884712" w:rsidP="00DA78AB">
      <w:pPr>
        <w:pStyle w:val="BodyText"/>
        <w:numPr>
          <w:ilvl w:val="0"/>
          <w:numId w:val="55"/>
        </w:numPr>
        <w:rPr>
          <w:b/>
          <w:bCs/>
        </w:rPr>
      </w:pPr>
      <w:r w:rsidRPr="00C65D18">
        <w:rPr>
          <w:b/>
          <w:bCs/>
        </w:rPr>
        <w:t>VTS</w:t>
      </w:r>
      <w:r w:rsidRPr="00C65D18">
        <w:rPr>
          <w:rFonts w:ascii="Cambria Math" w:hAnsi="Cambria Math" w:cs="Cambria Math"/>
          <w:b/>
          <w:bCs/>
        </w:rPr>
        <w:t>‑</w:t>
      </w:r>
      <w:r w:rsidRPr="00C65D18">
        <w:rPr>
          <w:b/>
          <w:bCs/>
        </w:rPr>
        <w:t>Attributable Interactions</w:t>
      </w:r>
    </w:p>
    <w:p w14:paraId="6BFA847C" w14:textId="77777777" w:rsidR="00884712" w:rsidRDefault="00884712" w:rsidP="00DA78AB">
      <w:pPr>
        <w:pStyle w:val="BodyText"/>
        <w:numPr>
          <w:ilvl w:val="0"/>
          <w:numId w:val="57"/>
        </w:numPr>
      </w:pPr>
      <w:r>
        <w:t>Shows proportion of interactions that mitigated unsafe situations</w:t>
      </w:r>
    </w:p>
    <w:p w14:paraId="04B97CF7" w14:textId="77777777" w:rsidR="00884712" w:rsidRPr="00C65D18" w:rsidRDefault="00884712" w:rsidP="00DA78AB">
      <w:pPr>
        <w:pStyle w:val="BodyText"/>
        <w:numPr>
          <w:ilvl w:val="0"/>
          <w:numId w:val="55"/>
        </w:numPr>
        <w:rPr>
          <w:b/>
          <w:bCs/>
        </w:rPr>
      </w:pPr>
      <w:r w:rsidRPr="00C65D18">
        <w:rPr>
          <w:b/>
          <w:bCs/>
        </w:rPr>
        <w:t>Normalised Trends</w:t>
      </w:r>
    </w:p>
    <w:p w14:paraId="5AFBC334" w14:textId="77777777" w:rsidR="00884712" w:rsidRDefault="00884712" w:rsidP="00DA78AB">
      <w:pPr>
        <w:pStyle w:val="BodyText"/>
        <w:numPr>
          <w:ilvl w:val="0"/>
          <w:numId w:val="57"/>
        </w:numPr>
      </w:pPr>
      <w:r>
        <w:t>Adjusts DUS and interactions for traffic volume</w:t>
      </w:r>
    </w:p>
    <w:p w14:paraId="077C99EE" w14:textId="77777777" w:rsidR="00884712" w:rsidRDefault="00884712" w:rsidP="00DA78AB">
      <w:pPr>
        <w:pStyle w:val="BodyText"/>
        <w:numPr>
          <w:ilvl w:val="0"/>
          <w:numId w:val="57"/>
        </w:numPr>
      </w:pPr>
      <w:r>
        <w:t>Supports fair comparison across years</w:t>
      </w:r>
    </w:p>
    <w:p w14:paraId="5229F27C" w14:textId="77777777" w:rsidR="00884712" w:rsidRPr="0035598D" w:rsidRDefault="00884712" w:rsidP="00DA78AB">
      <w:pPr>
        <w:pStyle w:val="BodyText"/>
        <w:numPr>
          <w:ilvl w:val="0"/>
          <w:numId w:val="55"/>
        </w:numPr>
        <w:rPr>
          <w:b/>
          <w:bCs/>
        </w:rPr>
      </w:pPr>
      <w:r w:rsidRPr="0035598D">
        <w:rPr>
          <w:b/>
          <w:bCs/>
        </w:rPr>
        <w:t>Introduction of Safety Measures</w:t>
      </w:r>
    </w:p>
    <w:p w14:paraId="2E4873A3" w14:textId="77777777" w:rsidR="00884712" w:rsidRDefault="00884712" w:rsidP="00DA78AB">
      <w:pPr>
        <w:pStyle w:val="BodyText"/>
        <w:numPr>
          <w:ilvl w:val="0"/>
          <w:numId w:val="58"/>
        </w:numPr>
      </w:pPr>
      <w:r>
        <w:t>Timeline showing pilotage changes, routing measures, DST upgrades, environmental regulations</w:t>
      </w:r>
    </w:p>
    <w:p w14:paraId="2C88FFF8" w14:textId="77777777" w:rsidR="00884712" w:rsidRPr="0035598D" w:rsidRDefault="00884712" w:rsidP="00DA78AB">
      <w:pPr>
        <w:pStyle w:val="BodyText"/>
        <w:numPr>
          <w:ilvl w:val="0"/>
          <w:numId w:val="55"/>
        </w:numPr>
        <w:rPr>
          <w:b/>
          <w:bCs/>
        </w:rPr>
      </w:pPr>
      <w:r w:rsidRPr="0035598D">
        <w:rPr>
          <w:b/>
          <w:bCs/>
        </w:rPr>
        <w:t>Combined Safety System Timeline</w:t>
      </w:r>
    </w:p>
    <w:p w14:paraId="1ED09913" w14:textId="77777777" w:rsidR="00884712" w:rsidRDefault="00884712" w:rsidP="00DA78AB">
      <w:pPr>
        <w:pStyle w:val="BodyText"/>
        <w:numPr>
          <w:ilvl w:val="0"/>
          <w:numId w:val="58"/>
        </w:numPr>
      </w:pPr>
      <w:r>
        <w:t>Integrates VTS interactions with other safety measures</w:t>
      </w:r>
    </w:p>
    <w:p w14:paraId="438D286C" w14:textId="77777777" w:rsidR="00884712" w:rsidRPr="0035598D" w:rsidRDefault="00884712" w:rsidP="00DA78AB">
      <w:pPr>
        <w:pStyle w:val="BodyText"/>
        <w:numPr>
          <w:ilvl w:val="0"/>
          <w:numId w:val="55"/>
        </w:numPr>
        <w:rPr>
          <w:b/>
          <w:bCs/>
        </w:rPr>
      </w:pPr>
      <w:r w:rsidRPr="0035598D">
        <w:rPr>
          <w:b/>
          <w:bCs/>
        </w:rPr>
        <w:t>Near</w:t>
      </w:r>
      <w:r w:rsidRPr="0035598D">
        <w:rPr>
          <w:rFonts w:ascii="Cambria Math" w:hAnsi="Cambria Math" w:cs="Cambria Math"/>
          <w:b/>
          <w:bCs/>
        </w:rPr>
        <w:t>‑</w:t>
      </w:r>
      <w:r w:rsidRPr="0035598D">
        <w:rPr>
          <w:b/>
          <w:bCs/>
        </w:rPr>
        <w:t>Miss Mitigation Trends</w:t>
      </w:r>
    </w:p>
    <w:p w14:paraId="19548BC2" w14:textId="77777777" w:rsidR="00884712" w:rsidRDefault="00884712" w:rsidP="00DA78AB">
      <w:pPr>
        <w:pStyle w:val="BodyText"/>
        <w:numPr>
          <w:ilvl w:val="0"/>
          <w:numId w:val="58"/>
        </w:numPr>
      </w:pPr>
      <w:r>
        <w:t>Shows reduction in near misses over time</w:t>
      </w:r>
    </w:p>
    <w:p w14:paraId="5B8240C1" w14:textId="77777777" w:rsidR="00884712" w:rsidRDefault="00884712" w:rsidP="00DA78AB">
      <w:pPr>
        <w:pStyle w:val="BodyText"/>
        <w:numPr>
          <w:ilvl w:val="0"/>
          <w:numId w:val="58"/>
        </w:numPr>
      </w:pPr>
      <w:r>
        <w:t>Demonstrates preventative effect of VTS</w:t>
      </w:r>
    </w:p>
    <w:p w14:paraId="6B95CC0E" w14:textId="2EFB1D8E" w:rsidR="007E0840" w:rsidRDefault="00884712" w:rsidP="00884712">
      <w:pPr>
        <w:rPr>
          <w:sz w:val="22"/>
        </w:rPr>
      </w:pPr>
      <w:r>
        <w:rPr>
          <w:sz w:val="22"/>
        </w:rPr>
        <w:br w:type="page"/>
      </w:r>
    </w:p>
    <w:sectPr w:rsidR="007E0840" w:rsidSect="002C06A0">
      <w:headerReference w:type="even" r:id="rId34"/>
      <w:headerReference w:type="default" r:id="rId35"/>
      <w:headerReference w:type="first" r:id="rId36"/>
      <w:pgSz w:w="11906" w:h="16838" w:code="9"/>
      <w:pgMar w:top="567" w:right="907" w:bottom="567" w:left="794"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09A03" w14:textId="77777777" w:rsidR="00AF4883" w:rsidRDefault="00AF4883" w:rsidP="003274DB">
      <w:r>
        <w:separator/>
      </w:r>
    </w:p>
    <w:p w14:paraId="55512E72" w14:textId="77777777" w:rsidR="00AF4883" w:rsidRDefault="00AF4883"/>
  </w:endnote>
  <w:endnote w:type="continuationSeparator" w:id="0">
    <w:p w14:paraId="2323ABCC" w14:textId="77777777" w:rsidR="00AF4883" w:rsidRDefault="00AF4883" w:rsidP="003274DB">
      <w:r>
        <w:continuationSeparator/>
      </w:r>
    </w:p>
    <w:p w14:paraId="2A8279A4" w14:textId="77777777" w:rsidR="00AF4883" w:rsidRDefault="00AF4883"/>
  </w:endnote>
  <w:endnote w:type="continuationNotice" w:id="1">
    <w:p w14:paraId="7FAC7FEC" w14:textId="77777777" w:rsidR="00AF4883" w:rsidRDefault="00AF48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4090E" w14:textId="77777777" w:rsidR="00D06571" w:rsidRDefault="00D06571"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2C518D" w14:textId="77777777" w:rsidR="00D06571" w:rsidRDefault="00D06571"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641649D" w14:textId="77777777" w:rsidR="00D06571" w:rsidRDefault="00D06571"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5BDC56F" w14:textId="77777777" w:rsidR="00D06571" w:rsidRDefault="00D06571"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C4C0A77" w14:textId="77777777" w:rsidR="00D06571" w:rsidRDefault="00D06571"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200F0" w14:textId="77777777" w:rsidR="00D06571" w:rsidRDefault="00D06571" w:rsidP="008747E0">
    <w:pPr>
      <w:pStyle w:val="Footer"/>
    </w:pPr>
    <w:r>
      <w:rPr>
        <w:noProof/>
        <w:lang w:val="sv-SE" w:eastAsia="sv-SE"/>
      </w:rPr>
      <mc:AlternateContent>
        <mc:Choice Requires="wps">
          <w:drawing>
            <wp:anchor distT="0" distB="0" distL="114300" distR="114300" simplePos="0" relativeHeight="251654144" behindDoc="0" locked="0" layoutInCell="1" allowOverlap="1" wp14:anchorId="1E1445D3" wp14:editId="0AC77497">
              <wp:simplePos x="0" y="0"/>
              <wp:positionH relativeFrom="page">
                <wp:posOffset>225425</wp:posOffset>
              </wp:positionH>
              <wp:positionV relativeFrom="page">
                <wp:posOffset>9106535</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788D76" id="Connecteur droit 11"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75pt,717.05pt" to="579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" strokecolor="#00558c [3204]" strokeweight="1pt">
              <w10:wrap anchorx="page" anchory="page"/>
            </v:line>
          </w:pict>
        </mc:Fallback>
      </mc:AlternateContent>
    </w:r>
    <w:r w:rsidRPr="00442889">
      <w:rPr>
        <w:noProof/>
        <w:lang w:val="sv-SE" w:eastAsia="sv-SE"/>
      </w:rPr>
      <w:drawing>
        <wp:anchor distT="0" distB="0" distL="114300" distR="114300" simplePos="0" relativeHeight="251653120" behindDoc="1" locked="0" layoutInCell="1" allowOverlap="1" wp14:anchorId="20D07C88" wp14:editId="79461F4E">
          <wp:simplePos x="0" y="0"/>
          <wp:positionH relativeFrom="page">
            <wp:posOffset>786696</wp:posOffset>
          </wp:positionH>
          <wp:positionV relativeFrom="page">
            <wp:posOffset>9725025</wp:posOffset>
          </wp:positionV>
          <wp:extent cx="3247200" cy="723600"/>
          <wp:effectExtent l="0" t="0" r="0" b="635"/>
          <wp:wrapNone/>
          <wp:docPr id="5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r>
      <w:t xml:space="preserve"> </w:t>
    </w:r>
  </w:p>
  <w:p w14:paraId="38DAC5DD" w14:textId="77777777" w:rsidR="00D06571" w:rsidRPr="00ED2A8D" w:rsidRDefault="00D06571" w:rsidP="008747E0">
    <w:pPr>
      <w:pStyle w:val="Footer"/>
    </w:pPr>
  </w:p>
  <w:p w14:paraId="3BE57E7C" w14:textId="77777777" w:rsidR="00D06571" w:rsidRPr="00ED2A8D" w:rsidRDefault="00D06571" w:rsidP="002735DD">
    <w:pPr>
      <w:pStyle w:val="Footer"/>
      <w:tabs>
        <w:tab w:val="left" w:pos="1781"/>
      </w:tabs>
    </w:pPr>
    <w:r>
      <w:tab/>
    </w:r>
  </w:p>
  <w:p w14:paraId="6E3234A9" w14:textId="77777777" w:rsidR="00D06571" w:rsidRPr="00ED2A8D" w:rsidRDefault="00D06571" w:rsidP="008747E0">
    <w:pPr>
      <w:pStyle w:val="Footer"/>
    </w:pPr>
  </w:p>
  <w:p w14:paraId="171B1A87" w14:textId="77777777" w:rsidR="00D06571" w:rsidRPr="00ED2A8D" w:rsidRDefault="00D06571" w:rsidP="002735DD">
    <w:pPr>
      <w:pStyle w:val="Footer"/>
      <w:tabs>
        <w:tab w:val="left" w:pos="213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CD2B" w14:textId="77777777" w:rsidR="00D06571" w:rsidRDefault="00D06571" w:rsidP="00525922">
    <w:r>
      <w:rPr>
        <w:noProof/>
        <w:lang w:val="sv-SE" w:eastAsia="sv-SE"/>
      </w:rPr>
      <mc:AlternateContent>
        <mc:Choice Requires="wps">
          <w:drawing>
            <wp:anchor distT="0" distB="0" distL="114300" distR="114300" simplePos="0" relativeHeight="251656192" behindDoc="0" locked="0" layoutInCell="1" allowOverlap="1" wp14:anchorId="7A24D458" wp14:editId="71F33179">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19011C" id="Connecteur droit 11"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2A26AB96" w14:textId="74D087C2" w:rsidR="00D06571" w:rsidRPr="00C907DF" w:rsidRDefault="00D06571" w:rsidP="00525922">
    <w:pPr>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sidR="0057107F">
      <w:rPr>
        <w:b/>
        <w:bCs/>
        <w:noProof/>
        <w:szCs w:val="15"/>
        <w:lang w:val="en-US"/>
      </w:rPr>
      <w:t>Error! Use the Home tab to apply Document title to the text that you want to appear here.</w:t>
    </w:r>
    <w:r w:rsidRPr="00C907DF">
      <w:rPr>
        <w:szCs w:val="15"/>
      </w:rPr>
      <w:fldChar w:fldCharType="end"/>
    </w:r>
    <w:r w:rsidRPr="000870E9">
      <w:rPr>
        <w:szCs w:val="15"/>
        <w:lang w:val="en-US"/>
      </w:rPr>
      <w:t xml:space="preserve"> </w:t>
    </w:r>
    <w:r>
      <w:rPr>
        <w:szCs w:val="15"/>
      </w:rPr>
      <w:fldChar w:fldCharType="begin"/>
    </w:r>
    <w:r w:rsidRPr="000870E9">
      <w:rPr>
        <w:szCs w:val="15"/>
        <w:lang w:val="en-US"/>
      </w:rPr>
      <w:instrText xml:space="preserve"> STYLEREF "Document number" \* MERGEFORMAT </w:instrTex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sidR="0057107F">
      <w:rPr>
        <w:b/>
        <w:bCs/>
        <w:noProof/>
        <w:szCs w:val="15"/>
        <w:lang w:val="en-US"/>
      </w:rPr>
      <w:t>Error! Use the Home tab to apply Subtitle to the text that you want to appear here.</w:t>
    </w:r>
    <w:r>
      <w:rPr>
        <w:szCs w:val="15"/>
      </w:rPr>
      <w:fldChar w:fldCharType="end"/>
    </w:r>
  </w:p>
  <w:p w14:paraId="28915F7A" w14:textId="18E5B78D" w:rsidR="00D06571" w:rsidRPr="00525922" w:rsidRDefault="00D06571" w:rsidP="00525922">
    <w:pPr>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1034" w14:textId="1A1DEDAE" w:rsidR="00D06571" w:rsidRPr="000D1024" w:rsidRDefault="00B65758" w:rsidP="00611ABF">
    <w:pPr>
      <w:pStyle w:val="Footerportrait"/>
      <w:spacing w:after="0" w:line="240" w:lineRule="auto"/>
      <w:rPr>
        <w:rStyle w:val="PageNumber"/>
        <w:szCs w:val="15"/>
      </w:rPr>
    </w:pPr>
    <w:fldSimple w:instr=" STYLEREF  &quot;Document type&quot;  \* MERGEFORMAT ">
      <w:r w:rsidR="00743EB8">
        <w:t>IALA Guideline</w:t>
      </w:r>
    </w:fldSimple>
    <w:r w:rsidR="00D06571" w:rsidRPr="000D1024">
      <w:t xml:space="preserve"> </w:t>
    </w:r>
    <w:fldSimple w:instr=" STYLEREF &quot;Document number&quot; \* MERGEFORMAT ">
      <w:r w:rsidR="00743EB8">
        <w:t>Gnnnn</w:t>
      </w:r>
    </w:fldSimple>
    <w:r w:rsidR="00D06571" w:rsidRPr="000D1024">
      <w:t xml:space="preserve"> </w:t>
    </w:r>
    <w:fldSimple w:instr=" STYLEREF &quot;Document name&quot; \* MERGEFORMAT ">
      <w:r w:rsidR="00743EB8">
        <w:t>demonstrating the contribution of VTS to the safety of navigation and protection of the environment</w:t>
      </w:r>
    </w:fldSimple>
  </w:p>
  <w:p w14:paraId="42805CD4" w14:textId="2E5A4AA1" w:rsidR="00D06571" w:rsidRPr="00C907DF" w:rsidRDefault="00B65758" w:rsidP="00611ABF">
    <w:pPr>
      <w:pStyle w:val="Footerportrait"/>
      <w:spacing w:after="0" w:line="240" w:lineRule="auto"/>
    </w:pPr>
    <w:fldSimple w:instr=" STYLEREF &quot;Edition number&quot; \* MERGEFORMAT ">
      <w:r w:rsidR="00743EB8">
        <w:t>Edition 1.0</w:t>
      </w:r>
    </w:fldSimple>
    <w:r w:rsidR="00D06571">
      <w:t xml:space="preserve"> </w:t>
    </w:r>
    <w:fldSimple w:instr=" STYLEREF  MRN  \* MERGEFORMAT ">
      <w:r w:rsidR="00743EB8">
        <w:t>urn:mrn:iala:pub:gnnnn</w:t>
      </w:r>
    </w:fldSimple>
    <w:r w:rsidR="00D06571" w:rsidRPr="00C907DF">
      <w:tab/>
    </w:r>
    <w:r w:rsidR="00D06571">
      <w:t xml:space="preserve">P </w:t>
    </w:r>
    <w:r w:rsidR="00D06571" w:rsidRPr="00C907DF">
      <w:rPr>
        <w:rStyle w:val="PageNumber"/>
        <w:szCs w:val="15"/>
      </w:rPr>
      <w:fldChar w:fldCharType="begin"/>
    </w:r>
    <w:r w:rsidR="00D06571" w:rsidRPr="00C907DF">
      <w:rPr>
        <w:rStyle w:val="PageNumber"/>
        <w:szCs w:val="15"/>
      </w:rPr>
      <w:instrText xml:space="preserve">PAGE  </w:instrText>
    </w:r>
    <w:r w:rsidR="00D06571" w:rsidRPr="00C907DF">
      <w:rPr>
        <w:rStyle w:val="PageNumber"/>
        <w:szCs w:val="15"/>
      </w:rPr>
      <w:fldChar w:fldCharType="separate"/>
    </w:r>
    <w:r w:rsidR="00E22EE5">
      <w:rPr>
        <w:rStyle w:val="PageNumber"/>
        <w:szCs w:val="15"/>
      </w:rPr>
      <w:t>12</w:t>
    </w:r>
    <w:r w:rsidR="00D06571"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C14EC" w14:textId="77777777" w:rsidR="00884712" w:rsidRPr="00553815" w:rsidRDefault="00884712" w:rsidP="00827301">
    <w:pPr>
      <w:pStyle w:val="Footerportrait"/>
    </w:pPr>
  </w:p>
  <w:p w14:paraId="103B55E3" w14:textId="034FA104" w:rsidR="00884712" w:rsidRPr="00C907DF" w:rsidRDefault="0057107F" w:rsidP="00827301">
    <w:pPr>
      <w:pStyle w:val="Footerportrait"/>
      <w:rPr>
        <w:rStyle w:val="PageNumber"/>
        <w:szCs w:val="15"/>
      </w:rPr>
    </w:pPr>
    <w:fldSimple w:instr=" STYLEREF &quot;Document type&quot; \* MERGEFORMAT ">
      <w:r w:rsidRPr="0057107F">
        <w:rPr>
          <w:b w:val="0"/>
          <w:bCs/>
        </w:rPr>
        <w:t>IALA Guideline</w:t>
      </w:r>
    </w:fldSimple>
    <w:r w:rsidR="00884712" w:rsidRPr="00C907DF">
      <w:t xml:space="preserve"> </w:t>
    </w:r>
    <w:fldSimple w:instr=" STYLEREF &quot;Document number&quot; \* MERGEFORMAT ">
      <w:r w:rsidRPr="0057107F">
        <w:rPr>
          <w:b w:val="0"/>
          <w:bCs/>
        </w:rPr>
        <w:t>Gnnnn</w:t>
      </w:r>
    </w:fldSimple>
    <w:r w:rsidR="00884712" w:rsidRPr="00C907DF">
      <w:t xml:space="preserve"> </w:t>
    </w:r>
    <w:fldSimple w:instr=" STYLEREF &quot;Document name&quot; \* MERGEFORMAT ">
      <w:r w:rsidRPr="0057107F">
        <w:rPr>
          <w:b w:val="0"/>
          <w:bCs/>
        </w:rPr>
        <w:t>demonstrating the contribution of VTS to the safety of</w:t>
      </w:r>
      <w:r>
        <w:t xml:space="preserve"> navigation and protection of the environment</w:t>
      </w:r>
    </w:fldSimple>
  </w:p>
  <w:p w14:paraId="4F5AA920" w14:textId="4759AEBF" w:rsidR="00884712" w:rsidRPr="00525922" w:rsidRDefault="0057107F" w:rsidP="00827301">
    <w:pPr>
      <w:pStyle w:val="Footerportrait"/>
    </w:pPr>
    <w:fldSimple w:instr=" STYLEREF &quot;Edition number&quot; \* MERGEFORMAT ">
      <w:r w:rsidRPr="0057107F">
        <w:rPr>
          <w:b w:val="0"/>
          <w:bCs/>
        </w:rPr>
        <w:t>Edition 1.0</w:t>
      </w:r>
    </w:fldSimple>
    <w:r w:rsidR="00884712">
      <w:t xml:space="preserve"> </w:t>
    </w:r>
    <w:fldSimple w:instr=" STYLEREF  MRN  \* MERGEFORMAT ">
      <w:r w:rsidRPr="0057107F">
        <w:rPr>
          <w:b w:val="0"/>
          <w:bCs/>
        </w:rPr>
        <w:t>urn:mrn:iala:pub:gnnnn</w:t>
      </w:r>
    </w:fldSimple>
    <w:r w:rsidR="00884712" w:rsidRPr="00C907DF">
      <w:tab/>
    </w:r>
    <w:r w:rsidR="00884712">
      <w:t xml:space="preserve">P </w:t>
    </w:r>
    <w:r w:rsidR="00884712" w:rsidRPr="00C907DF">
      <w:rPr>
        <w:rStyle w:val="PageNumber"/>
        <w:szCs w:val="15"/>
      </w:rPr>
      <w:fldChar w:fldCharType="begin"/>
    </w:r>
    <w:r w:rsidR="00884712" w:rsidRPr="00C907DF">
      <w:rPr>
        <w:rStyle w:val="PageNumber"/>
        <w:szCs w:val="15"/>
      </w:rPr>
      <w:instrText xml:space="preserve">PAGE  </w:instrText>
    </w:r>
    <w:r w:rsidR="00884712" w:rsidRPr="00C907DF">
      <w:rPr>
        <w:rStyle w:val="PageNumber"/>
        <w:szCs w:val="15"/>
      </w:rPr>
      <w:fldChar w:fldCharType="separate"/>
    </w:r>
    <w:r w:rsidR="00884712">
      <w:rPr>
        <w:rStyle w:val="PageNumber"/>
        <w:szCs w:val="15"/>
      </w:rPr>
      <w:t>3</w:t>
    </w:r>
    <w:r w:rsidR="00884712"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50703" w14:textId="77777777" w:rsidR="00AF4883" w:rsidRDefault="00AF4883" w:rsidP="003274DB">
      <w:r>
        <w:separator/>
      </w:r>
    </w:p>
    <w:p w14:paraId="35BAA787" w14:textId="77777777" w:rsidR="00AF4883" w:rsidRDefault="00AF4883"/>
  </w:footnote>
  <w:footnote w:type="continuationSeparator" w:id="0">
    <w:p w14:paraId="71D5975F" w14:textId="77777777" w:rsidR="00AF4883" w:rsidRDefault="00AF4883" w:rsidP="003274DB">
      <w:r>
        <w:continuationSeparator/>
      </w:r>
    </w:p>
    <w:p w14:paraId="2A1D0043" w14:textId="77777777" w:rsidR="00AF4883" w:rsidRDefault="00AF4883"/>
  </w:footnote>
  <w:footnote w:type="continuationNotice" w:id="1">
    <w:p w14:paraId="51A58E85" w14:textId="77777777" w:rsidR="00AF4883" w:rsidRDefault="00AF4883">
      <w:pPr>
        <w:spacing w:line="240" w:lineRule="auto"/>
      </w:pPr>
    </w:p>
  </w:footnote>
  <w:footnote w:id="2">
    <w:p w14:paraId="1E8FF97B" w14:textId="77777777" w:rsidR="00884712" w:rsidRPr="005A76F1" w:rsidRDefault="00884712" w:rsidP="00727FD2">
      <w:pPr>
        <w:pStyle w:val="FootnoteText"/>
        <w:spacing w:after="0"/>
        <w:rPr>
          <w:lang w:val="en-AU"/>
        </w:rPr>
      </w:pPr>
      <w:r w:rsidRPr="00F060E8">
        <w:rPr>
          <w:rStyle w:val="FootnoteReference"/>
          <w:b/>
          <w:bCs/>
        </w:rPr>
        <w:footnoteRef/>
      </w:r>
      <w:r w:rsidRPr="00F060E8">
        <w:rPr>
          <w:b/>
          <w:bCs/>
        </w:rPr>
        <w:t xml:space="preserve"> </w:t>
      </w:r>
      <w:r>
        <w:rPr>
          <w:lang w:val="en-AU"/>
        </w:rPr>
        <w:t>Note – this guideline does not address the contribution of VTS to navigational efficiency.  This will be considered in a future guideline.</w:t>
      </w:r>
    </w:p>
  </w:footnote>
  <w:footnote w:id="3">
    <w:p w14:paraId="14629D02" w14:textId="28A6D5C8" w:rsidR="00884712" w:rsidRPr="008B0D2D" w:rsidRDefault="00884712" w:rsidP="00727FD2">
      <w:pPr>
        <w:pStyle w:val="FootnoteText"/>
        <w:spacing w:after="0"/>
        <w:rPr>
          <w:lang w:val="en-AU"/>
        </w:rPr>
      </w:pPr>
      <w:r>
        <w:rPr>
          <w:rStyle w:val="FootnoteReference"/>
        </w:rPr>
        <w:footnoteRef/>
      </w:r>
      <w:r>
        <w:t xml:space="preserve"> </w:t>
      </w:r>
      <w:r>
        <w:rPr>
          <w:lang w:val="en-AU"/>
        </w:rPr>
        <w:t>Refer to IMO Resolution A.1158(</w:t>
      </w:r>
      <w:r w:rsidR="00152F79">
        <w:rPr>
          <w:lang w:val="en-AU"/>
        </w:rPr>
        <w:t>32) Guidelines</w:t>
      </w:r>
      <w:r>
        <w:rPr>
          <w:lang w:val="en-AU"/>
        </w:rPr>
        <w:t xml:space="preserve"> for Vessel Traffic Services (Section 3.1 and 3.2)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23BD" w14:textId="28D9F129" w:rsidR="00D06571" w:rsidRDefault="00D06571">
    <w:pPr>
      <w:pStyle w:val="Header"/>
    </w:pPr>
    <w:r>
      <w:rPr>
        <w:noProof/>
        <w:lang w:val="sv-SE" w:eastAsia="sv-SE"/>
      </w:rPr>
      <mc:AlternateContent>
        <mc:Choice Requires="wps">
          <w:drawing>
            <wp:anchor distT="0" distB="0" distL="114300" distR="114300" simplePos="0" relativeHeight="251657216" behindDoc="1" locked="0" layoutInCell="0" allowOverlap="1" wp14:anchorId="612EF3C3" wp14:editId="101B3E28">
              <wp:simplePos x="0" y="0"/>
              <wp:positionH relativeFrom="margin">
                <wp:align>center</wp:align>
              </wp:positionH>
              <wp:positionV relativeFrom="margin">
                <wp:align>center</wp:align>
              </wp:positionV>
              <wp:extent cx="5709920" cy="3425825"/>
              <wp:effectExtent l="0" t="1247775" r="0" b="717550"/>
              <wp:wrapNone/>
              <wp:docPr id="9"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254F6AC" w14:textId="77777777" w:rsidR="00D06571" w:rsidRDefault="00D06571" w:rsidP="00B41F48">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2EF3C3" id="_x0000_t202" coordsize="21600,21600" o:spt="202" path="m,l,21600r21600,l21600,xe">
              <v:stroke joinstyle="miter"/>
              <v:path gradientshapeok="t" o:connecttype="rect"/>
            </v:shapetype>
            <v:shape id="WordArt 2" o:spid="_x0000_s1026" type="#_x0000_t202" style="position:absolute;margin-left:0;margin-top:0;width:449.6pt;height:269.7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w9AEAAMU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" o:allowincell="f" filled="f" stroked="f">
              <v:stroke joinstyle="round"/>
              <o:lock v:ext="edit" shapetype="t"/>
              <v:textbox style="mso-fit-shape-to-text:t">
                <w:txbxContent>
                  <w:p w14:paraId="1254F6AC" w14:textId="77777777" w:rsidR="00D06571" w:rsidRDefault="00D06571" w:rsidP="00B41F48">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22397" w14:textId="77777777" w:rsidR="00884712" w:rsidRDefault="0088471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24"/>
        <w:szCs w:val="24"/>
      </w:rPr>
      <w:id w:val="-1648194438"/>
      <w:docPartObj>
        <w:docPartGallery w:val="Watermarks"/>
        <w:docPartUnique/>
      </w:docPartObj>
    </w:sdtPr>
    <w:sdtEndPr/>
    <w:sdtContent>
      <w:p w14:paraId="2648BC56" w14:textId="77777777" w:rsidR="00884712" w:rsidRPr="008205C5" w:rsidRDefault="00AF4883" w:rsidP="00FF7386">
        <w:pPr>
          <w:pStyle w:val="Header"/>
          <w:jc w:val="right"/>
          <w:rPr>
            <w:b/>
            <w:bCs/>
            <w:sz w:val="24"/>
            <w:szCs w:val="24"/>
          </w:rPr>
        </w:pPr>
        <w:r>
          <w:rPr>
            <w:b/>
            <w:bCs/>
            <w:noProof/>
            <w:sz w:val="24"/>
            <w:szCs w:val="24"/>
          </w:rPr>
          <w:pict w14:anchorId="262E07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412.4pt;height:247.45pt;rotation:315;z-index:-25164697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p w14:paraId="4F6DF719" w14:textId="77777777" w:rsidR="00884712" w:rsidRPr="00DF47E2" w:rsidRDefault="00884712" w:rsidP="00DF47E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5E99A" w14:textId="77777777" w:rsidR="00884712" w:rsidRDefault="0088471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3A15" w14:textId="2B0C399E" w:rsidR="00D06571" w:rsidRDefault="00D0657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0509" w14:textId="357BF6C1" w:rsidR="00D06571" w:rsidRPr="008205C5" w:rsidRDefault="00D06571" w:rsidP="00FF7386">
    <w:pPr>
      <w:pStyle w:val="Header"/>
      <w:jc w:val="right"/>
      <w:rPr>
        <w:b/>
        <w:bCs/>
        <w:sz w:val="24"/>
        <w:szCs w:val="24"/>
      </w:rPr>
    </w:pPr>
  </w:p>
  <w:p w14:paraId="6BADD30E" w14:textId="675D8ACD" w:rsidR="00D06571" w:rsidRPr="00DF47E2" w:rsidRDefault="00D06571" w:rsidP="00DF47E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BF130" w14:textId="23BD2A4B" w:rsidR="00D06571" w:rsidRDefault="00D065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D0CF" w14:textId="14D34270" w:rsidR="00C916D8" w:rsidRDefault="00AF4883">
    <w:pPr>
      <w:pStyle w:val="Header"/>
    </w:pPr>
    <w:sdt>
      <w:sdtPr>
        <w:id w:val="256952165"/>
        <w:docPartObj>
          <w:docPartGallery w:val="Watermarks"/>
          <w:docPartUnique/>
        </w:docPartObj>
      </w:sdtPr>
      <w:sdtEndPr/>
      <w:sdtContent>
        <w:r>
          <w:rPr>
            <w:noProof/>
          </w:rPr>
          <w:pict w14:anchorId="66C4D6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7"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96B92" w:rsidRPr="00442889">
      <w:rPr>
        <w:noProof/>
        <w:lang w:val="en-US"/>
      </w:rPr>
      <w:drawing>
        <wp:anchor distT="0" distB="0" distL="114300" distR="114300" simplePos="0" relativeHeight="251662336" behindDoc="1" locked="0" layoutInCell="1" allowOverlap="1" wp14:anchorId="4FA79299" wp14:editId="1821DA79">
          <wp:simplePos x="0" y="0"/>
          <wp:positionH relativeFrom="page">
            <wp:posOffset>3026080</wp:posOffset>
          </wp:positionH>
          <wp:positionV relativeFrom="page">
            <wp:posOffset>21946</wp:posOffset>
          </wp:positionV>
          <wp:extent cx="1566750" cy="1250899"/>
          <wp:effectExtent l="0" t="0" r="0" b="6985"/>
          <wp:wrapNone/>
          <wp:docPr id="51" name="Image 3" descr="A logo with a mermaid holding a tor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 3" descr="A logo with a mermaid holding a torch&#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66750" cy="1250899"/>
                  </a:xfrm>
                  <a:prstGeom prst="rect">
                    <a:avLst/>
                  </a:prstGeom>
                </pic:spPr>
              </pic:pic>
            </a:graphicData>
          </a:graphic>
          <wp14:sizeRelH relativeFrom="margin">
            <wp14:pctWidth>0</wp14:pctWidth>
          </wp14:sizeRelH>
          <wp14:sizeRelV relativeFrom="margin">
            <wp14:pctHeight>0</wp14:pctHeight>
          </wp14:sizeRelV>
        </wp:anchor>
      </w:drawing>
    </w:r>
  </w:p>
  <w:p w14:paraId="07EDBC4A" w14:textId="1689C95F" w:rsidR="00D06571" w:rsidRPr="00ED2A8D" w:rsidRDefault="00F96B92" w:rsidP="001349DB">
    <w:pPr>
      <w:pStyle w:val="Header"/>
      <w:spacing w:line="360" w:lineRule="exact"/>
    </w:pPr>
    <w:r>
      <w:rPr>
        <w:noProof/>
        <w:lang w:val="en-US"/>
      </w:rPr>
      <w:drawing>
        <wp:anchor distT="0" distB="0" distL="114300" distR="114300" simplePos="0" relativeHeight="251661312" behindDoc="1" locked="0" layoutInCell="1" allowOverlap="1" wp14:anchorId="4230856D" wp14:editId="56BB563F">
          <wp:simplePos x="0" y="0"/>
          <wp:positionH relativeFrom="page">
            <wp:align>left</wp:align>
          </wp:positionH>
          <wp:positionV relativeFrom="page">
            <wp:posOffset>995096</wp:posOffset>
          </wp:positionV>
          <wp:extent cx="7555865" cy="2339975"/>
          <wp:effectExtent l="0" t="0" r="6985" b="3175"/>
          <wp:wrapNone/>
          <wp:docPr id="56" name="Image 1" descr="A blue rectangle with yellow bord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 1" descr="A blue rectangle with yellow border&#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08B4B" w14:textId="6C7392F7" w:rsidR="00D06571" w:rsidRDefault="00D06571">
    <w:pPr>
      <w:pStyle w:val="Header"/>
    </w:pPr>
    <w:r>
      <w:rPr>
        <w:noProof/>
        <w:lang w:val="sv-SE" w:eastAsia="sv-SE"/>
      </w:rPr>
      <w:drawing>
        <wp:anchor distT="0" distB="0" distL="114300" distR="114300" simplePos="0" relativeHeight="251655168" behindDoc="1" locked="0" layoutInCell="1" allowOverlap="1" wp14:anchorId="3B0288B1" wp14:editId="6B42BBA0">
          <wp:simplePos x="0" y="0"/>
          <wp:positionH relativeFrom="page">
            <wp:posOffset>6827653</wp:posOffset>
          </wp:positionH>
          <wp:positionV relativeFrom="page">
            <wp:posOffset>0</wp:posOffset>
          </wp:positionV>
          <wp:extent cx="720000" cy="720000"/>
          <wp:effectExtent l="0" t="0" r="4445" b="4445"/>
          <wp:wrapNone/>
          <wp:docPr id="5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ADCB4CD" w14:textId="77777777" w:rsidR="00D06571" w:rsidRDefault="00D06571">
    <w:pPr>
      <w:pStyle w:val="Header"/>
    </w:pPr>
  </w:p>
  <w:p w14:paraId="001126A5" w14:textId="77777777" w:rsidR="00D06571" w:rsidRDefault="00D065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53E97" w14:textId="291D554C" w:rsidR="00D06571" w:rsidRDefault="00D06571">
    <w:pPr>
      <w:pStyle w:val="Header"/>
    </w:pPr>
    <w:r>
      <w:rPr>
        <w:noProof/>
        <w:lang w:val="sv-SE" w:eastAsia="sv-SE"/>
      </w:rPr>
      <mc:AlternateContent>
        <mc:Choice Requires="wps">
          <w:drawing>
            <wp:anchor distT="0" distB="0" distL="114300" distR="114300" simplePos="0" relativeHeight="251653632" behindDoc="1" locked="0" layoutInCell="0" allowOverlap="1" wp14:anchorId="223CFB4E" wp14:editId="4A0FAE7F">
              <wp:simplePos x="0" y="0"/>
              <wp:positionH relativeFrom="margin">
                <wp:align>center</wp:align>
              </wp:positionH>
              <wp:positionV relativeFrom="margin">
                <wp:align>center</wp:align>
              </wp:positionV>
              <wp:extent cx="5709920" cy="3425825"/>
              <wp:effectExtent l="0" t="1247775" r="0" b="717550"/>
              <wp:wrapNone/>
              <wp:docPr id="8"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5E3125C" w14:textId="77777777" w:rsidR="00D06571" w:rsidRDefault="00D06571" w:rsidP="00B41F48">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23CFB4E" id="_x0000_t202" coordsize="21600,21600" o:spt="202" path="m,l,21600r21600,l21600,xe">
              <v:stroke joinstyle="miter"/>
              <v:path gradientshapeok="t" o:connecttype="rect"/>
            </v:shapetype>
            <v:shape id="WordArt 5" o:spid="_x0000_s1027" type="#_x0000_t202" style="position:absolute;margin-left:0;margin-top:0;width:449.6pt;height:269.7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xK9g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" o:allowincell="f" filled="f" stroked="f">
              <v:stroke joinstyle="round"/>
              <o:lock v:ext="edit" shapetype="t"/>
              <v:textbox style="mso-fit-shape-to-text:t">
                <w:txbxContent>
                  <w:p w14:paraId="15E3125C" w14:textId="77777777" w:rsidR="00D06571" w:rsidRDefault="00D06571" w:rsidP="00B41F48">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F5377" w14:textId="154319ED" w:rsidR="00D06571" w:rsidRPr="00AC33A2" w:rsidRDefault="00D06571" w:rsidP="004A3C7D">
    <w:pPr>
      <w:pStyle w:val="Header"/>
      <w:tabs>
        <w:tab w:val="right" w:pos="10205"/>
      </w:tabs>
    </w:pPr>
    <w:r>
      <w:rPr>
        <w:noProof/>
        <w:lang w:val="sv-SE" w:eastAsia="sv-SE"/>
      </w:rPr>
      <w:drawing>
        <wp:anchor distT="0" distB="0" distL="114300" distR="114300" simplePos="0" relativeHeight="251667968" behindDoc="1" locked="0" layoutInCell="1" allowOverlap="1" wp14:anchorId="40540B6E" wp14:editId="734750AD">
          <wp:simplePos x="0" y="0"/>
          <wp:positionH relativeFrom="page">
            <wp:posOffset>6840855</wp:posOffset>
          </wp:positionH>
          <wp:positionV relativeFrom="page">
            <wp:posOffset>0</wp:posOffset>
          </wp:positionV>
          <wp:extent cx="720000" cy="720000"/>
          <wp:effectExtent l="0" t="0" r="4445" b="4445"/>
          <wp:wrapNone/>
          <wp:docPr id="155235970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4F94" w14:textId="0C07FA63" w:rsidR="00D06571" w:rsidRDefault="00D06571">
    <w:pPr>
      <w:pStyle w:val="Header"/>
    </w:pPr>
    <w:r>
      <w:rPr>
        <w:noProof/>
        <w:lang w:val="sv-SE" w:eastAsia="sv-SE"/>
      </w:rPr>
      <mc:AlternateContent>
        <mc:Choice Requires="wps">
          <w:drawing>
            <wp:anchor distT="0" distB="0" distL="114300" distR="114300" simplePos="0" relativeHeight="251650560" behindDoc="1" locked="0" layoutInCell="0" allowOverlap="1" wp14:anchorId="1743BAEC" wp14:editId="0617FB5A">
              <wp:simplePos x="0" y="0"/>
              <wp:positionH relativeFrom="margin">
                <wp:align>center</wp:align>
              </wp:positionH>
              <wp:positionV relativeFrom="margin">
                <wp:align>center</wp:align>
              </wp:positionV>
              <wp:extent cx="5709920" cy="3425825"/>
              <wp:effectExtent l="0" t="1247775" r="0" b="71755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DCA0D6" w14:textId="77777777" w:rsidR="00D06571" w:rsidRDefault="00D06571" w:rsidP="00B41F48">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43BAEC" id="_x0000_t202" coordsize="21600,21600" o:spt="202" path="m,l,21600r21600,l21600,xe">
              <v:stroke joinstyle="miter"/>
              <v:path gradientshapeok="t" o:connecttype="rect"/>
            </v:shapetype>
            <v:shape id="WordArt 4" o:spid="_x0000_s1028" type="#_x0000_t202" style="position:absolute;margin-left:0;margin-top:0;width:449.6pt;height:269.75pt;rotation:-45;z-index:-2516659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Z+q+A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" o:allowincell="f" filled="f" stroked="f">
              <v:stroke joinstyle="round"/>
              <o:lock v:ext="edit" shapetype="t"/>
              <v:textbox style="mso-fit-shape-to-text:t">
                <w:txbxContent>
                  <w:p w14:paraId="6CDCA0D6" w14:textId="77777777" w:rsidR="00D06571" w:rsidRDefault="00D06571" w:rsidP="00B41F48">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64AA" w14:textId="77777777" w:rsidR="00884712" w:rsidRDefault="00884712">
    <w:pPr>
      <w:pStyle w:val="Header"/>
    </w:pPr>
    <w:r>
      <w:rPr>
        <w:noProof/>
        <w:lang w:val="sv-SE" w:eastAsia="sv-SE"/>
      </w:rPr>
      <mc:AlternateContent>
        <mc:Choice Requires="wps">
          <w:drawing>
            <wp:anchor distT="0" distB="0" distL="114300" distR="114300" simplePos="0" relativeHeight="251664896" behindDoc="1" locked="0" layoutInCell="0" allowOverlap="1" wp14:anchorId="2D274349" wp14:editId="564D0FE6">
              <wp:simplePos x="0" y="0"/>
              <wp:positionH relativeFrom="margin">
                <wp:align>center</wp:align>
              </wp:positionH>
              <wp:positionV relativeFrom="margin">
                <wp:align>center</wp:align>
              </wp:positionV>
              <wp:extent cx="5709920" cy="3425825"/>
              <wp:effectExtent l="0" t="1247775" r="0" b="717550"/>
              <wp:wrapNone/>
              <wp:docPr id="6"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644D4F4" w14:textId="77777777" w:rsidR="00884712" w:rsidRDefault="00884712" w:rsidP="00B41F48">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D274349" id="_x0000_t202" coordsize="21600,21600" o:spt="202" path="m,l,21600r21600,l21600,xe">
              <v:stroke joinstyle="miter"/>
              <v:path gradientshapeok="t" o:connecttype="rect"/>
            </v:shapetype>
            <v:shape id="WordArt 8" o:spid="_x0000_s1029" type="#_x0000_t202" style="position:absolute;margin-left:0;margin-top:0;width:449.6pt;height:269.7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719w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" o:allowincell="f" filled="f" stroked="f">
              <v:stroke joinstyle="round"/>
              <o:lock v:ext="edit" shapetype="t"/>
              <v:textbox style="mso-fit-shape-to-text:t">
                <w:txbxContent>
                  <w:p w14:paraId="4644D4F4" w14:textId="77777777" w:rsidR="00884712" w:rsidRDefault="00884712" w:rsidP="00B41F48">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2EAC5" w14:textId="77777777" w:rsidR="00884712" w:rsidRPr="00AC33A2" w:rsidRDefault="00884712"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38899" w14:textId="77777777" w:rsidR="00884712" w:rsidRPr="00ED2A8D" w:rsidRDefault="00884712" w:rsidP="00C716E5">
    <w:pPr>
      <w:pStyle w:val="Header"/>
    </w:pPr>
    <w:r>
      <w:rPr>
        <w:noProof/>
        <w:lang w:val="sv-SE" w:eastAsia="sv-SE"/>
      </w:rPr>
      <w:drawing>
        <wp:anchor distT="0" distB="0" distL="114300" distR="114300" simplePos="0" relativeHeight="251661824" behindDoc="1" locked="0" layoutInCell="1" allowOverlap="1" wp14:anchorId="6567D63A" wp14:editId="5B924995">
          <wp:simplePos x="0" y="0"/>
          <wp:positionH relativeFrom="page">
            <wp:posOffset>6840855</wp:posOffset>
          </wp:positionH>
          <wp:positionV relativeFrom="page">
            <wp:posOffset>0</wp:posOffset>
          </wp:positionV>
          <wp:extent cx="720000" cy="720000"/>
          <wp:effectExtent l="0" t="0" r="4445" b="4445"/>
          <wp:wrapNone/>
          <wp:docPr id="65990692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C1C07C9" w14:textId="77777777" w:rsidR="00884712" w:rsidRPr="00ED2A8D" w:rsidRDefault="00884712" w:rsidP="00C716E5">
    <w:pPr>
      <w:pStyle w:val="Header"/>
    </w:pPr>
  </w:p>
  <w:p w14:paraId="4A637852" w14:textId="77777777" w:rsidR="00884712" w:rsidRDefault="00884712" w:rsidP="00C716E5">
    <w:pPr>
      <w:pStyle w:val="Header"/>
    </w:pPr>
  </w:p>
  <w:p w14:paraId="650BB482" w14:textId="77777777" w:rsidR="00884712" w:rsidRDefault="00884712" w:rsidP="00C716E5">
    <w:pPr>
      <w:pStyle w:val="Header"/>
    </w:pPr>
  </w:p>
  <w:p w14:paraId="0D18CD73" w14:textId="77777777" w:rsidR="00884712" w:rsidRDefault="00884712" w:rsidP="00C716E5">
    <w:pPr>
      <w:pStyle w:val="Header"/>
    </w:pPr>
  </w:p>
  <w:p w14:paraId="0B8E6FAD" w14:textId="77777777" w:rsidR="00884712" w:rsidRPr="00441393" w:rsidRDefault="00884712" w:rsidP="00C716E5">
    <w:pPr>
      <w:pStyle w:val="Contents"/>
    </w:pPr>
    <w:r>
      <w:t>CONTENTS</w:t>
    </w:r>
  </w:p>
  <w:p w14:paraId="725EEA7B" w14:textId="77777777" w:rsidR="00884712" w:rsidRPr="00ED2A8D" w:rsidRDefault="00884712" w:rsidP="00C716E5">
    <w:pPr>
      <w:pStyle w:val="Header"/>
    </w:pPr>
  </w:p>
  <w:p w14:paraId="3E565816" w14:textId="77777777" w:rsidR="00884712" w:rsidRPr="00AC33A2" w:rsidRDefault="00884712" w:rsidP="00C716E5">
    <w:pPr>
      <w:pStyle w:val="Header"/>
      <w:spacing w:line="140" w:lineRule="exact"/>
    </w:pPr>
  </w:p>
  <w:p w14:paraId="117E10F2" w14:textId="77777777" w:rsidR="00884712" w:rsidRDefault="00884712">
    <w:pPr>
      <w:pStyle w:val="Header"/>
    </w:pPr>
    <w:r>
      <w:rPr>
        <w:noProof/>
        <w:lang w:val="sv-SE" w:eastAsia="sv-SE"/>
      </w:rPr>
      <w:drawing>
        <wp:anchor distT="0" distB="0" distL="114300" distR="114300" simplePos="0" relativeHeight="251658752" behindDoc="1" locked="0" layoutInCell="1" allowOverlap="1" wp14:anchorId="161DC328" wp14:editId="0ED489D6">
          <wp:simplePos x="0" y="0"/>
          <wp:positionH relativeFrom="page">
            <wp:posOffset>6827653</wp:posOffset>
          </wp:positionH>
          <wp:positionV relativeFrom="page">
            <wp:posOffset>0</wp:posOffset>
          </wp:positionV>
          <wp:extent cx="720000" cy="720000"/>
          <wp:effectExtent l="0" t="0" r="4445" b="4445"/>
          <wp:wrapNone/>
          <wp:docPr id="171635959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5F0CBB5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583618"/>
    <w:multiLevelType w:val="hybridMultilevel"/>
    <w:tmpl w:val="0AE421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4D54F5"/>
    <w:multiLevelType w:val="multilevel"/>
    <w:tmpl w:val="248C9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B4F03"/>
    <w:multiLevelType w:val="hybridMultilevel"/>
    <w:tmpl w:val="C38679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80D7BF6"/>
    <w:multiLevelType w:val="multilevel"/>
    <w:tmpl w:val="99E09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2F34CE"/>
    <w:multiLevelType w:val="multilevel"/>
    <w:tmpl w:val="EA5C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6B723B"/>
    <w:multiLevelType w:val="hybridMultilevel"/>
    <w:tmpl w:val="1F2A08CC"/>
    <w:lvl w:ilvl="0" w:tplc="0C090001">
      <w:start w:val="1"/>
      <w:numFmt w:val="bullet"/>
      <w:lvlText w:val=""/>
      <w:lvlJc w:val="left"/>
      <w:pPr>
        <w:ind w:left="1068" w:hanging="360"/>
      </w:pPr>
      <w:rPr>
        <w:rFonts w:ascii="Symbol" w:hAnsi="Symbol" w:hint="default"/>
      </w:rPr>
    </w:lvl>
    <w:lvl w:ilvl="1" w:tplc="0C090003" w:tentative="1">
      <w:start w:val="1"/>
      <w:numFmt w:val="bullet"/>
      <w:lvlText w:val="o"/>
      <w:lvlJc w:val="left"/>
      <w:pPr>
        <w:ind w:left="1788" w:hanging="360"/>
      </w:pPr>
      <w:rPr>
        <w:rFonts w:ascii="Courier New" w:hAnsi="Courier New" w:cs="Courier New" w:hint="default"/>
      </w:rPr>
    </w:lvl>
    <w:lvl w:ilvl="2" w:tplc="0C090005" w:tentative="1">
      <w:start w:val="1"/>
      <w:numFmt w:val="bullet"/>
      <w:lvlText w:val=""/>
      <w:lvlJc w:val="left"/>
      <w:pPr>
        <w:ind w:left="2508" w:hanging="360"/>
      </w:pPr>
      <w:rPr>
        <w:rFonts w:ascii="Wingdings" w:hAnsi="Wingdings" w:hint="default"/>
      </w:rPr>
    </w:lvl>
    <w:lvl w:ilvl="3" w:tplc="0C090001" w:tentative="1">
      <w:start w:val="1"/>
      <w:numFmt w:val="bullet"/>
      <w:lvlText w:val=""/>
      <w:lvlJc w:val="left"/>
      <w:pPr>
        <w:ind w:left="3228" w:hanging="360"/>
      </w:pPr>
      <w:rPr>
        <w:rFonts w:ascii="Symbol" w:hAnsi="Symbol" w:hint="default"/>
      </w:rPr>
    </w:lvl>
    <w:lvl w:ilvl="4" w:tplc="0C090003" w:tentative="1">
      <w:start w:val="1"/>
      <w:numFmt w:val="bullet"/>
      <w:lvlText w:val="o"/>
      <w:lvlJc w:val="left"/>
      <w:pPr>
        <w:ind w:left="3948" w:hanging="360"/>
      </w:pPr>
      <w:rPr>
        <w:rFonts w:ascii="Courier New" w:hAnsi="Courier New" w:cs="Courier New" w:hint="default"/>
      </w:rPr>
    </w:lvl>
    <w:lvl w:ilvl="5" w:tplc="0C090005" w:tentative="1">
      <w:start w:val="1"/>
      <w:numFmt w:val="bullet"/>
      <w:lvlText w:val=""/>
      <w:lvlJc w:val="left"/>
      <w:pPr>
        <w:ind w:left="4668" w:hanging="360"/>
      </w:pPr>
      <w:rPr>
        <w:rFonts w:ascii="Wingdings" w:hAnsi="Wingdings" w:hint="default"/>
      </w:rPr>
    </w:lvl>
    <w:lvl w:ilvl="6" w:tplc="0C090001" w:tentative="1">
      <w:start w:val="1"/>
      <w:numFmt w:val="bullet"/>
      <w:lvlText w:val=""/>
      <w:lvlJc w:val="left"/>
      <w:pPr>
        <w:ind w:left="5388" w:hanging="360"/>
      </w:pPr>
      <w:rPr>
        <w:rFonts w:ascii="Symbol" w:hAnsi="Symbol" w:hint="default"/>
      </w:rPr>
    </w:lvl>
    <w:lvl w:ilvl="7" w:tplc="0C090003" w:tentative="1">
      <w:start w:val="1"/>
      <w:numFmt w:val="bullet"/>
      <w:lvlText w:val="o"/>
      <w:lvlJc w:val="left"/>
      <w:pPr>
        <w:ind w:left="6108" w:hanging="360"/>
      </w:pPr>
      <w:rPr>
        <w:rFonts w:ascii="Courier New" w:hAnsi="Courier New" w:cs="Courier New" w:hint="default"/>
      </w:rPr>
    </w:lvl>
    <w:lvl w:ilvl="8" w:tplc="0C090005" w:tentative="1">
      <w:start w:val="1"/>
      <w:numFmt w:val="bullet"/>
      <w:lvlText w:val=""/>
      <w:lvlJc w:val="left"/>
      <w:pPr>
        <w:ind w:left="6828" w:hanging="360"/>
      </w:pPr>
      <w:rPr>
        <w:rFonts w:ascii="Wingdings" w:hAnsi="Wingdings" w:hint="default"/>
      </w:rPr>
    </w:lvl>
  </w:abstractNum>
  <w:abstractNum w:abstractNumId="8" w15:restartNumberingAfterBreak="0">
    <w:nsid w:val="0B4E52E3"/>
    <w:multiLevelType w:val="hybridMultilevel"/>
    <w:tmpl w:val="3074416E"/>
    <w:lvl w:ilvl="0" w:tplc="0C090003">
      <w:start w:val="1"/>
      <w:numFmt w:val="bullet"/>
      <w:lvlText w:val="o"/>
      <w:lvlJc w:val="left"/>
      <w:pPr>
        <w:ind w:left="1068" w:hanging="360"/>
      </w:pPr>
      <w:rPr>
        <w:rFonts w:ascii="Courier New" w:hAnsi="Courier New" w:cs="Courier New" w:hint="default"/>
      </w:rPr>
    </w:lvl>
    <w:lvl w:ilvl="1" w:tplc="0C090003" w:tentative="1">
      <w:start w:val="1"/>
      <w:numFmt w:val="bullet"/>
      <w:lvlText w:val="o"/>
      <w:lvlJc w:val="left"/>
      <w:pPr>
        <w:ind w:left="1788" w:hanging="360"/>
      </w:pPr>
      <w:rPr>
        <w:rFonts w:ascii="Courier New" w:hAnsi="Courier New" w:cs="Courier New" w:hint="default"/>
      </w:rPr>
    </w:lvl>
    <w:lvl w:ilvl="2" w:tplc="0C090005" w:tentative="1">
      <w:start w:val="1"/>
      <w:numFmt w:val="bullet"/>
      <w:lvlText w:val=""/>
      <w:lvlJc w:val="left"/>
      <w:pPr>
        <w:ind w:left="2508" w:hanging="360"/>
      </w:pPr>
      <w:rPr>
        <w:rFonts w:ascii="Wingdings" w:hAnsi="Wingdings" w:hint="default"/>
      </w:rPr>
    </w:lvl>
    <w:lvl w:ilvl="3" w:tplc="0C090001" w:tentative="1">
      <w:start w:val="1"/>
      <w:numFmt w:val="bullet"/>
      <w:lvlText w:val=""/>
      <w:lvlJc w:val="left"/>
      <w:pPr>
        <w:ind w:left="3228" w:hanging="360"/>
      </w:pPr>
      <w:rPr>
        <w:rFonts w:ascii="Symbol" w:hAnsi="Symbol" w:hint="default"/>
      </w:rPr>
    </w:lvl>
    <w:lvl w:ilvl="4" w:tplc="0C090003" w:tentative="1">
      <w:start w:val="1"/>
      <w:numFmt w:val="bullet"/>
      <w:lvlText w:val="o"/>
      <w:lvlJc w:val="left"/>
      <w:pPr>
        <w:ind w:left="3948" w:hanging="360"/>
      </w:pPr>
      <w:rPr>
        <w:rFonts w:ascii="Courier New" w:hAnsi="Courier New" w:cs="Courier New" w:hint="default"/>
      </w:rPr>
    </w:lvl>
    <w:lvl w:ilvl="5" w:tplc="0C090005" w:tentative="1">
      <w:start w:val="1"/>
      <w:numFmt w:val="bullet"/>
      <w:lvlText w:val=""/>
      <w:lvlJc w:val="left"/>
      <w:pPr>
        <w:ind w:left="4668" w:hanging="360"/>
      </w:pPr>
      <w:rPr>
        <w:rFonts w:ascii="Wingdings" w:hAnsi="Wingdings" w:hint="default"/>
      </w:rPr>
    </w:lvl>
    <w:lvl w:ilvl="6" w:tplc="0C090001" w:tentative="1">
      <w:start w:val="1"/>
      <w:numFmt w:val="bullet"/>
      <w:lvlText w:val=""/>
      <w:lvlJc w:val="left"/>
      <w:pPr>
        <w:ind w:left="5388" w:hanging="360"/>
      </w:pPr>
      <w:rPr>
        <w:rFonts w:ascii="Symbol" w:hAnsi="Symbol" w:hint="default"/>
      </w:rPr>
    </w:lvl>
    <w:lvl w:ilvl="7" w:tplc="0C090003" w:tentative="1">
      <w:start w:val="1"/>
      <w:numFmt w:val="bullet"/>
      <w:lvlText w:val="o"/>
      <w:lvlJc w:val="left"/>
      <w:pPr>
        <w:ind w:left="6108" w:hanging="360"/>
      </w:pPr>
      <w:rPr>
        <w:rFonts w:ascii="Courier New" w:hAnsi="Courier New" w:cs="Courier New" w:hint="default"/>
      </w:rPr>
    </w:lvl>
    <w:lvl w:ilvl="8" w:tplc="0C090005" w:tentative="1">
      <w:start w:val="1"/>
      <w:numFmt w:val="bullet"/>
      <w:lvlText w:val=""/>
      <w:lvlJc w:val="left"/>
      <w:pPr>
        <w:ind w:left="6828" w:hanging="360"/>
      </w:pPr>
      <w:rPr>
        <w:rFonts w:ascii="Wingdings" w:hAnsi="Wingdings" w:hint="default"/>
      </w:rPr>
    </w:lvl>
  </w:abstractNum>
  <w:abstractNum w:abstractNumId="9" w15:restartNumberingAfterBreak="0">
    <w:nsid w:val="0DED6C36"/>
    <w:multiLevelType w:val="multilevel"/>
    <w:tmpl w:val="26028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F94C38"/>
    <w:multiLevelType w:val="hybridMultilevel"/>
    <w:tmpl w:val="6D6E7F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EA927C1"/>
    <w:multiLevelType w:val="multilevel"/>
    <w:tmpl w:val="976A3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50877"/>
    <w:multiLevelType w:val="multilevel"/>
    <w:tmpl w:val="C986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5" w15:restartNumberingAfterBreak="0">
    <w:nsid w:val="13B70D5B"/>
    <w:multiLevelType w:val="hybridMultilevel"/>
    <w:tmpl w:val="B114F2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7" w15:restartNumberingAfterBreak="0">
    <w:nsid w:val="18EC4813"/>
    <w:multiLevelType w:val="multilevel"/>
    <w:tmpl w:val="7E4A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7018FC"/>
    <w:multiLevelType w:val="hybridMultilevel"/>
    <w:tmpl w:val="35FC7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19A1740F"/>
    <w:multiLevelType w:val="multilevel"/>
    <w:tmpl w:val="A04E49A4"/>
    <w:lvl w:ilvl="0">
      <w:start w:val="1"/>
      <w:numFmt w:val="decimal"/>
      <w:pStyle w:val="Appendix"/>
      <w:lvlText w:val="APPENDIX %1"/>
      <w:lvlJc w:val="left"/>
      <w:rPr>
        <w:rFonts w:ascii="Calibri (Body)" w:hAnsi="Calibri (Body)" w:hint="default"/>
        <w:b/>
        <w:bCs w:val="0"/>
        <w:i w:val="0"/>
        <w:iCs w:val="0"/>
        <w:caps/>
        <w:smallCaps w:val="0"/>
        <w:strike w:val="0"/>
        <w:dstrike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E956D7D"/>
    <w:multiLevelType w:val="multilevel"/>
    <w:tmpl w:val="2442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B778A0"/>
    <w:multiLevelType w:val="hybridMultilevel"/>
    <w:tmpl w:val="EB000A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1F287F1F"/>
    <w:multiLevelType w:val="hybridMultilevel"/>
    <w:tmpl w:val="25EAE5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21742017"/>
    <w:multiLevelType w:val="multilevel"/>
    <w:tmpl w:val="78189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4FF0D1B"/>
    <w:multiLevelType w:val="hybridMultilevel"/>
    <w:tmpl w:val="4DEEFB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27883842"/>
    <w:multiLevelType w:val="hybridMultilevel"/>
    <w:tmpl w:val="012EC1FC"/>
    <w:lvl w:ilvl="0" w:tplc="0C09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9"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CE11CB"/>
    <w:multiLevelType w:val="hybridMultilevel"/>
    <w:tmpl w:val="75BC33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B9D6D9D"/>
    <w:multiLevelType w:val="multilevel"/>
    <w:tmpl w:val="BCF47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1170331"/>
    <w:multiLevelType w:val="hybridMultilevel"/>
    <w:tmpl w:val="58F666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320A6BD0"/>
    <w:multiLevelType w:val="hybridMultilevel"/>
    <w:tmpl w:val="D44CDFA0"/>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6"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37841C6"/>
    <w:multiLevelType w:val="multilevel"/>
    <w:tmpl w:val="2624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43E7287"/>
    <w:multiLevelType w:val="hybridMultilevel"/>
    <w:tmpl w:val="F1B670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376301AE"/>
    <w:multiLevelType w:val="multilevel"/>
    <w:tmpl w:val="AE72F272"/>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3611CEB"/>
    <w:multiLevelType w:val="multilevel"/>
    <w:tmpl w:val="2C623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580A4F"/>
    <w:multiLevelType w:val="multilevel"/>
    <w:tmpl w:val="6DC6B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9D30FF"/>
    <w:multiLevelType w:val="multilevel"/>
    <w:tmpl w:val="AFB0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6DC37E2"/>
    <w:multiLevelType w:val="multilevel"/>
    <w:tmpl w:val="1A5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F56A8A"/>
    <w:multiLevelType w:val="hybridMultilevel"/>
    <w:tmpl w:val="DF6A9218"/>
    <w:lvl w:ilvl="0" w:tplc="0C090001">
      <w:start w:val="1"/>
      <w:numFmt w:val="bullet"/>
      <w:lvlText w:val=""/>
      <w:lvlJc w:val="left"/>
      <w:pPr>
        <w:ind w:left="1428" w:hanging="360"/>
      </w:pPr>
      <w:rPr>
        <w:rFonts w:ascii="Symbol" w:hAnsi="Symbol" w:hint="default"/>
      </w:rPr>
    </w:lvl>
    <w:lvl w:ilvl="1" w:tplc="0C090003" w:tentative="1">
      <w:start w:val="1"/>
      <w:numFmt w:val="bullet"/>
      <w:lvlText w:val="o"/>
      <w:lvlJc w:val="left"/>
      <w:pPr>
        <w:ind w:left="2148" w:hanging="360"/>
      </w:pPr>
      <w:rPr>
        <w:rFonts w:ascii="Courier New" w:hAnsi="Courier New" w:cs="Courier New" w:hint="default"/>
      </w:rPr>
    </w:lvl>
    <w:lvl w:ilvl="2" w:tplc="0C090005" w:tentative="1">
      <w:start w:val="1"/>
      <w:numFmt w:val="bullet"/>
      <w:lvlText w:val=""/>
      <w:lvlJc w:val="left"/>
      <w:pPr>
        <w:ind w:left="2868" w:hanging="360"/>
      </w:pPr>
      <w:rPr>
        <w:rFonts w:ascii="Wingdings" w:hAnsi="Wingdings" w:hint="default"/>
      </w:rPr>
    </w:lvl>
    <w:lvl w:ilvl="3" w:tplc="0C090001" w:tentative="1">
      <w:start w:val="1"/>
      <w:numFmt w:val="bullet"/>
      <w:lvlText w:val=""/>
      <w:lvlJc w:val="left"/>
      <w:pPr>
        <w:ind w:left="3588" w:hanging="360"/>
      </w:pPr>
      <w:rPr>
        <w:rFonts w:ascii="Symbol" w:hAnsi="Symbol" w:hint="default"/>
      </w:rPr>
    </w:lvl>
    <w:lvl w:ilvl="4" w:tplc="0C090003" w:tentative="1">
      <w:start w:val="1"/>
      <w:numFmt w:val="bullet"/>
      <w:lvlText w:val="o"/>
      <w:lvlJc w:val="left"/>
      <w:pPr>
        <w:ind w:left="4308" w:hanging="360"/>
      </w:pPr>
      <w:rPr>
        <w:rFonts w:ascii="Courier New" w:hAnsi="Courier New" w:cs="Courier New" w:hint="default"/>
      </w:rPr>
    </w:lvl>
    <w:lvl w:ilvl="5" w:tplc="0C090005" w:tentative="1">
      <w:start w:val="1"/>
      <w:numFmt w:val="bullet"/>
      <w:lvlText w:val=""/>
      <w:lvlJc w:val="left"/>
      <w:pPr>
        <w:ind w:left="5028" w:hanging="360"/>
      </w:pPr>
      <w:rPr>
        <w:rFonts w:ascii="Wingdings" w:hAnsi="Wingdings" w:hint="default"/>
      </w:rPr>
    </w:lvl>
    <w:lvl w:ilvl="6" w:tplc="0C090001" w:tentative="1">
      <w:start w:val="1"/>
      <w:numFmt w:val="bullet"/>
      <w:lvlText w:val=""/>
      <w:lvlJc w:val="left"/>
      <w:pPr>
        <w:ind w:left="5748" w:hanging="360"/>
      </w:pPr>
      <w:rPr>
        <w:rFonts w:ascii="Symbol" w:hAnsi="Symbol" w:hint="default"/>
      </w:rPr>
    </w:lvl>
    <w:lvl w:ilvl="7" w:tplc="0C090003" w:tentative="1">
      <w:start w:val="1"/>
      <w:numFmt w:val="bullet"/>
      <w:lvlText w:val="o"/>
      <w:lvlJc w:val="left"/>
      <w:pPr>
        <w:ind w:left="6468" w:hanging="360"/>
      </w:pPr>
      <w:rPr>
        <w:rFonts w:ascii="Courier New" w:hAnsi="Courier New" w:cs="Courier New" w:hint="default"/>
      </w:rPr>
    </w:lvl>
    <w:lvl w:ilvl="8" w:tplc="0C090005" w:tentative="1">
      <w:start w:val="1"/>
      <w:numFmt w:val="bullet"/>
      <w:lvlText w:val=""/>
      <w:lvlJc w:val="left"/>
      <w:pPr>
        <w:ind w:left="7188" w:hanging="360"/>
      </w:pPr>
      <w:rPr>
        <w:rFonts w:ascii="Wingdings" w:hAnsi="Wingdings" w:hint="default"/>
      </w:rPr>
    </w:lvl>
  </w:abstractNum>
  <w:abstractNum w:abstractNumId="45"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A597031"/>
    <w:multiLevelType w:val="hybridMultilevel"/>
    <w:tmpl w:val="9926C1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4ADC22B0"/>
    <w:multiLevelType w:val="multilevel"/>
    <w:tmpl w:val="DEB69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CEB10E3"/>
    <w:multiLevelType w:val="multilevel"/>
    <w:tmpl w:val="2442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D237C98"/>
    <w:multiLevelType w:val="hybridMultilevel"/>
    <w:tmpl w:val="AA9826C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D462981"/>
    <w:multiLevelType w:val="hybridMultilevel"/>
    <w:tmpl w:val="E552FF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515D1D1B"/>
    <w:multiLevelType w:val="hybridMultilevel"/>
    <w:tmpl w:val="BD981B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52AE278D"/>
    <w:multiLevelType w:val="hybridMultilevel"/>
    <w:tmpl w:val="6D5AA9EC"/>
    <w:lvl w:ilvl="0" w:tplc="32E603FE">
      <w:numFmt w:val="bullet"/>
      <w:lvlText w:val="•"/>
      <w:lvlJc w:val="left"/>
      <w:pPr>
        <w:ind w:left="1068" w:hanging="360"/>
      </w:pPr>
      <w:rPr>
        <w:rFonts w:ascii="Calibri" w:eastAsia="Times New Roman" w:hAnsi="Calibri" w:cs="Calibri" w:hint="default"/>
      </w:rPr>
    </w:lvl>
    <w:lvl w:ilvl="1" w:tplc="0C090003">
      <w:start w:val="1"/>
      <w:numFmt w:val="bullet"/>
      <w:lvlText w:val="o"/>
      <w:lvlJc w:val="left"/>
      <w:pPr>
        <w:ind w:left="1788" w:hanging="360"/>
      </w:pPr>
      <w:rPr>
        <w:rFonts w:ascii="Courier New" w:hAnsi="Courier New" w:cs="Courier New" w:hint="default"/>
      </w:rPr>
    </w:lvl>
    <w:lvl w:ilvl="2" w:tplc="0C090005" w:tentative="1">
      <w:start w:val="1"/>
      <w:numFmt w:val="bullet"/>
      <w:lvlText w:val=""/>
      <w:lvlJc w:val="left"/>
      <w:pPr>
        <w:ind w:left="2508" w:hanging="360"/>
      </w:pPr>
      <w:rPr>
        <w:rFonts w:ascii="Wingdings" w:hAnsi="Wingdings" w:hint="default"/>
      </w:rPr>
    </w:lvl>
    <w:lvl w:ilvl="3" w:tplc="0C090001" w:tentative="1">
      <w:start w:val="1"/>
      <w:numFmt w:val="bullet"/>
      <w:lvlText w:val=""/>
      <w:lvlJc w:val="left"/>
      <w:pPr>
        <w:ind w:left="3228" w:hanging="360"/>
      </w:pPr>
      <w:rPr>
        <w:rFonts w:ascii="Symbol" w:hAnsi="Symbol" w:hint="default"/>
      </w:rPr>
    </w:lvl>
    <w:lvl w:ilvl="4" w:tplc="0C090003" w:tentative="1">
      <w:start w:val="1"/>
      <w:numFmt w:val="bullet"/>
      <w:lvlText w:val="o"/>
      <w:lvlJc w:val="left"/>
      <w:pPr>
        <w:ind w:left="3948" w:hanging="360"/>
      </w:pPr>
      <w:rPr>
        <w:rFonts w:ascii="Courier New" w:hAnsi="Courier New" w:cs="Courier New" w:hint="default"/>
      </w:rPr>
    </w:lvl>
    <w:lvl w:ilvl="5" w:tplc="0C090005" w:tentative="1">
      <w:start w:val="1"/>
      <w:numFmt w:val="bullet"/>
      <w:lvlText w:val=""/>
      <w:lvlJc w:val="left"/>
      <w:pPr>
        <w:ind w:left="4668" w:hanging="360"/>
      </w:pPr>
      <w:rPr>
        <w:rFonts w:ascii="Wingdings" w:hAnsi="Wingdings" w:hint="default"/>
      </w:rPr>
    </w:lvl>
    <w:lvl w:ilvl="6" w:tplc="0C090001" w:tentative="1">
      <w:start w:val="1"/>
      <w:numFmt w:val="bullet"/>
      <w:lvlText w:val=""/>
      <w:lvlJc w:val="left"/>
      <w:pPr>
        <w:ind w:left="5388" w:hanging="360"/>
      </w:pPr>
      <w:rPr>
        <w:rFonts w:ascii="Symbol" w:hAnsi="Symbol" w:hint="default"/>
      </w:rPr>
    </w:lvl>
    <w:lvl w:ilvl="7" w:tplc="0C090003" w:tentative="1">
      <w:start w:val="1"/>
      <w:numFmt w:val="bullet"/>
      <w:lvlText w:val="o"/>
      <w:lvlJc w:val="left"/>
      <w:pPr>
        <w:ind w:left="6108" w:hanging="360"/>
      </w:pPr>
      <w:rPr>
        <w:rFonts w:ascii="Courier New" w:hAnsi="Courier New" w:cs="Courier New" w:hint="default"/>
      </w:rPr>
    </w:lvl>
    <w:lvl w:ilvl="8" w:tplc="0C090005" w:tentative="1">
      <w:start w:val="1"/>
      <w:numFmt w:val="bullet"/>
      <w:lvlText w:val=""/>
      <w:lvlJc w:val="left"/>
      <w:pPr>
        <w:ind w:left="6828" w:hanging="360"/>
      </w:pPr>
      <w:rPr>
        <w:rFonts w:ascii="Wingdings" w:hAnsi="Wingdings" w:hint="default"/>
      </w:rPr>
    </w:lvl>
  </w:abstractNum>
  <w:abstractNum w:abstractNumId="53" w15:restartNumberingAfterBreak="0">
    <w:nsid w:val="549225AD"/>
    <w:multiLevelType w:val="multilevel"/>
    <w:tmpl w:val="2AE2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4E80A26"/>
    <w:multiLevelType w:val="hybridMultilevel"/>
    <w:tmpl w:val="09684D70"/>
    <w:lvl w:ilvl="0" w:tplc="32E603FE">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55D358EF"/>
    <w:multiLevelType w:val="hybridMultilevel"/>
    <w:tmpl w:val="3A38EC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56E37DD5"/>
    <w:multiLevelType w:val="hybridMultilevel"/>
    <w:tmpl w:val="62F828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5CD46DC4"/>
    <w:multiLevelType w:val="hybridMultilevel"/>
    <w:tmpl w:val="A844C7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626B6AE8"/>
    <w:multiLevelType w:val="multilevel"/>
    <w:tmpl w:val="1B92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38C4BA3"/>
    <w:multiLevelType w:val="multilevel"/>
    <w:tmpl w:val="CCAA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7B47D4"/>
    <w:multiLevelType w:val="multilevel"/>
    <w:tmpl w:val="C7CE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3" w15:restartNumberingAfterBreak="0">
    <w:nsid w:val="688917A7"/>
    <w:multiLevelType w:val="hybridMultilevel"/>
    <w:tmpl w:val="0A887B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6B7F25DF"/>
    <w:multiLevelType w:val="multilevel"/>
    <w:tmpl w:val="41A0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BA73E8F"/>
    <w:multiLevelType w:val="hybridMultilevel"/>
    <w:tmpl w:val="79E6F4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67" w15:restartNumberingAfterBreak="0">
    <w:nsid w:val="6D6E513F"/>
    <w:multiLevelType w:val="hybridMultilevel"/>
    <w:tmpl w:val="466605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70D32C7A"/>
    <w:multiLevelType w:val="hybridMultilevel"/>
    <w:tmpl w:val="0F408E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712321A6"/>
    <w:multiLevelType w:val="multilevel"/>
    <w:tmpl w:val="40C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2AB6ADD"/>
    <w:multiLevelType w:val="multilevel"/>
    <w:tmpl w:val="FA482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2FF5EEC"/>
    <w:multiLevelType w:val="multilevel"/>
    <w:tmpl w:val="BE2AC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D600C6"/>
    <w:multiLevelType w:val="multilevel"/>
    <w:tmpl w:val="D9263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94E6EA5"/>
    <w:multiLevelType w:val="multilevel"/>
    <w:tmpl w:val="09C66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7C627F3C"/>
    <w:multiLevelType w:val="multilevel"/>
    <w:tmpl w:val="0BB8F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DDD6CC3"/>
    <w:multiLevelType w:val="hybridMultilevel"/>
    <w:tmpl w:val="A4F6D9B4"/>
    <w:lvl w:ilvl="0" w:tplc="0C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7F664810"/>
    <w:multiLevelType w:val="hybridMultilevel"/>
    <w:tmpl w:val="BE0A10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65046273">
    <w:abstractNumId w:val="14"/>
  </w:num>
  <w:num w:numId="2" w16cid:durableId="1876652893">
    <w:abstractNumId w:val="29"/>
  </w:num>
  <w:num w:numId="3" w16cid:durableId="1976524015">
    <w:abstractNumId w:val="16"/>
  </w:num>
  <w:num w:numId="4" w16cid:durableId="618224400">
    <w:abstractNumId w:val="27"/>
  </w:num>
  <w:num w:numId="5" w16cid:durableId="1231845693">
    <w:abstractNumId w:val="13"/>
  </w:num>
  <w:num w:numId="6" w16cid:durableId="1278952200">
    <w:abstractNumId w:val="25"/>
  </w:num>
  <w:num w:numId="7" w16cid:durableId="26805568">
    <w:abstractNumId w:val="0"/>
  </w:num>
  <w:num w:numId="8" w16cid:durableId="290788359">
    <w:abstractNumId w:val="19"/>
  </w:num>
  <w:num w:numId="9" w16cid:durableId="30617254">
    <w:abstractNumId w:val="20"/>
  </w:num>
  <w:num w:numId="10" w16cid:durableId="1948543390">
    <w:abstractNumId w:val="58"/>
  </w:num>
  <w:num w:numId="11" w16cid:durableId="2116289472">
    <w:abstractNumId w:val="36"/>
  </w:num>
  <w:num w:numId="12" w16cid:durableId="2121148556">
    <w:abstractNumId w:val="1"/>
  </w:num>
  <w:num w:numId="13" w16cid:durableId="510026259">
    <w:abstractNumId w:val="45"/>
  </w:num>
  <w:num w:numId="14" w16cid:durableId="1226448338">
    <w:abstractNumId w:val="76"/>
  </w:num>
  <w:num w:numId="15" w16cid:durableId="160002246">
    <w:abstractNumId w:val="73"/>
  </w:num>
  <w:num w:numId="16" w16cid:durableId="1793934813">
    <w:abstractNumId w:val="74"/>
  </w:num>
  <w:num w:numId="17" w16cid:durableId="291401284">
    <w:abstractNumId w:val="66"/>
  </w:num>
  <w:num w:numId="18" w16cid:durableId="1857234947">
    <w:abstractNumId w:val="62"/>
  </w:num>
  <w:num w:numId="19" w16cid:durableId="974674568">
    <w:abstractNumId w:val="33"/>
  </w:num>
  <w:num w:numId="20" w16cid:durableId="549614505">
    <w:abstractNumId w:val="31"/>
  </w:num>
  <w:num w:numId="21" w16cid:durableId="1788936502">
    <w:abstractNumId w:val="39"/>
  </w:num>
  <w:num w:numId="22" w16cid:durableId="1058356559">
    <w:abstractNumId w:val="49"/>
  </w:num>
  <w:num w:numId="23" w16cid:durableId="1400975">
    <w:abstractNumId w:val="8"/>
  </w:num>
  <w:num w:numId="24" w16cid:durableId="1288926624">
    <w:abstractNumId w:val="32"/>
  </w:num>
  <w:num w:numId="25" w16cid:durableId="1758939667">
    <w:abstractNumId w:val="3"/>
  </w:num>
  <w:num w:numId="26" w16cid:durableId="95054564">
    <w:abstractNumId w:val="40"/>
  </w:num>
  <w:num w:numId="27" w16cid:durableId="1694452018">
    <w:abstractNumId w:val="47"/>
  </w:num>
  <w:num w:numId="28" w16cid:durableId="1246107328">
    <w:abstractNumId w:val="24"/>
  </w:num>
  <w:num w:numId="29" w16cid:durableId="893077575">
    <w:abstractNumId w:val="71"/>
  </w:num>
  <w:num w:numId="30" w16cid:durableId="166024542">
    <w:abstractNumId w:val="75"/>
  </w:num>
  <w:num w:numId="31" w16cid:durableId="1390962353">
    <w:abstractNumId w:val="69"/>
  </w:num>
  <w:num w:numId="32" w16cid:durableId="1294947627">
    <w:abstractNumId w:val="41"/>
  </w:num>
  <w:num w:numId="33" w16cid:durableId="1194030463">
    <w:abstractNumId w:val="59"/>
  </w:num>
  <w:num w:numId="34" w16cid:durableId="898789174">
    <w:abstractNumId w:val="64"/>
  </w:num>
  <w:num w:numId="35" w16cid:durableId="1993099962">
    <w:abstractNumId w:val="5"/>
  </w:num>
  <w:num w:numId="36" w16cid:durableId="2097743695">
    <w:abstractNumId w:val="9"/>
  </w:num>
  <w:num w:numId="37" w16cid:durableId="1971352383">
    <w:abstractNumId w:val="79"/>
  </w:num>
  <w:num w:numId="38" w16cid:durableId="1849909669">
    <w:abstractNumId w:val="35"/>
  </w:num>
  <w:num w:numId="39" w16cid:durableId="1846284311">
    <w:abstractNumId w:val="28"/>
  </w:num>
  <w:num w:numId="40" w16cid:durableId="2138527873">
    <w:abstractNumId w:val="7"/>
  </w:num>
  <w:num w:numId="41" w16cid:durableId="518590104">
    <w:abstractNumId w:val="52"/>
  </w:num>
  <w:num w:numId="42" w16cid:durableId="1026639578">
    <w:abstractNumId w:val="54"/>
  </w:num>
  <w:num w:numId="43" w16cid:durableId="755713847">
    <w:abstractNumId w:val="44"/>
  </w:num>
  <w:num w:numId="44" w16cid:durableId="2084597618">
    <w:abstractNumId w:val="34"/>
  </w:num>
  <w:num w:numId="45" w16cid:durableId="1438526768">
    <w:abstractNumId w:val="56"/>
  </w:num>
  <w:num w:numId="46" w16cid:durableId="370568656">
    <w:abstractNumId w:val="22"/>
  </w:num>
  <w:num w:numId="47" w16cid:durableId="97483720">
    <w:abstractNumId w:val="65"/>
  </w:num>
  <w:num w:numId="48" w16cid:durableId="1087310705">
    <w:abstractNumId w:val="26"/>
  </w:num>
  <w:num w:numId="49" w16cid:durableId="1206865832">
    <w:abstractNumId w:val="23"/>
  </w:num>
  <w:num w:numId="50" w16cid:durableId="1779446992">
    <w:abstractNumId w:val="50"/>
  </w:num>
  <w:num w:numId="51" w16cid:durableId="420679937">
    <w:abstractNumId w:val="2"/>
  </w:num>
  <w:num w:numId="52" w16cid:durableId="406341396">
    <w:abstractNumId w:val="4"/>
  </w:num>
  <w:num w:numId="53" w16cid:durableId="1967930817">
    <w:abstractNumId w:val="55"/>
  </w:num>
  <w:num w:numId="54" w16cid:durableId="1596013218">
    <w:abstractNumId w:val="15"/>
  </w:num>
  <w:num w:numId="55" w16cid:durableId="1093014869">
    <w:abstractNumId w:val="78"/>
  </w:num>
  <w:num w:numId="56" w16cid:durableId="1600136043">
    <w:abstractNumId w:val="67"/>
  </w:num>
  <w:num w:numId="57" w16cid:durableId="701635048">
    <w:abstractNumId w:val="18"/>
  </w:num>
  <w:num w:numId="58" w16cid:durableId="741373653">
    <w:abstractNumId w:val="10"/>
  </w:num>
  <w:num w:numId="59" w16cid:durableId="1519853231">
    <w:abstractNumId w:val="63"/>
  </w:num>
  <w:num w:numId="60" w16cid:durableId="887648814">
    <w:abstractNumId w:val="30"/>
  </w:num>
  <w:num w:numId="61" w16cid:durableId="414327331">
    <w:abstractNumId w:val="46"/>
  </w:num>
  <w:num w:numId="62" w16cid:durableId="1974868192">
    <w:abstractNumId w:val="68"/>
  </w:num>
  <w:num w:numId="63" w16cid:durableId="167064678">
    <w:abstractNumId w:val="57"/>
  </w:num>
  <w:num w:numId="64" w16cid:durableId="1262184742">
    <w:abstractNumId w:val="38"/>
  </w:num>
  <w:num w:numId="65" w16cid:durableId="1288051645">
    <w:abstractNumId w:val="51"/>
  </w:num>
  <w:num w:numId="66" w16cid:durableId="335498558">
    <w:abstractNumId w:val="17"/>
  </w:num>
  <w:num w:numId="67" w16cid:durableId="765809888">
    <w:abstractNumId w:val="6"/>
  </w:num>
  <w:num w:numId="68" w16cid:durableId="1523738454">
    <w:abstractNumId w:val="48"/>
  </w:num>
  <w:num w:numId="69" w16cid:durableId="1100176633">
    <w:abstractNumId w:val="37"/>
  </w:num>
  <w:num w:numId="70" w16cid:durableId="674961793">
    <w:abstractNumId w:val="60"/>
  </w:num>
  <w:num w:numId="71" w16cid:durableId="785391373">
    <w:abstractNumId w:val="11"/>
  </w:num>
  <w:num w:numId="72" w16cid:durableId="1988125451">
    <w:abstractNumId w:val="21"/>
  </w:num>
  <w:num w:numId="73" w16cid:durableId="763767923">
    <w:abstractNumId w:val="70"/>
  </w:num>
  <w:num w:numId="74" w16cid:durableId="1605848138">
    <w:abstractNumId w:val="42"/>
  </w:num>
  <w:num w:numId="75" w16cid:durableId="47337145">
    <w:abstractNumId w:val="12"/>
  </w:num>
  <w:num w:numId="76" w16cid:durableId="1441144085">
    <w:abstractNumId w:val="77"/>
  </w:num>
  <w:num w:numId="77" w16cid:durableId="2034458801">
    <w:abstractNumId w:val="43"/>
  </w:num>
  <w:num w:numId="78" w16cid:durableId="1164276891">
    <w:abstractNumId w:val="72"/>
  </w:num>
  <w:num w:numId="79" w16cid:durableId="296883059">
    <w:abstractNumId w:val="61"/>
  </w:num>
  <w:num w:numId="80" w16cid:durableId="1084229906">
    <w:abstractNumId w:val="62"/>
  </w:num>
  <w:num w:numId="81" w16cid:durableId="144511430">
    <w:abstractNumId w:val="62"/>
  </w:num>
  <w:num w:numId="82" w16cid:durableId="367149444">
    <w:abstractNumId w:val="62"/>
  </w:num>
  <w:num w:numId="83" w16cid:durableId="10570509">
    <w:abstractNumId w:val="62"/>
  </w:num>
  <w:num w:numId="84" w16cid:durableId="1746487497">
    <w:abstractNumId w:val="62"/>
  </w:num>
  <w:num w:numId="85" w16cid:durableId="366759856">
    <w:abstractNumId w:val="62"/>
  </w:num>
  <w:num w:numId="86" w16cid:durableId="1558930704">
    <w:abstractNumId w:val="62"/>
  </w:num>
  <w:num w:numId="87" w16cid:durableId="873467677">
    <w:abstractNumId w:val="53"/>
  </w:num>
  <w:num w:numId="88" w16cid:durableId="313529041">
    <w:abstractNumId w:val="62"/>
  </w:num>
  <w:num w:numId="89" w16cid:durableId="1156534257">
    <w:abstractNumId w:val="62"/>
  </w:num>
  <w:num w:numId="90" w16cid:durableId="2038775456">
    <w:abstractNumId w:val="62"/>
  </w:num>
  <w:num w:numId="91" w16cid:durableId="679938342">
    <w:abstractNumId w:val="62"/>
  </w:num>
  <w:num w:numId="92" w16cid:durableId="446509378">
    <w:abstractNumId w:val="62"/>
  </w:num>
  <w:num w:numId="93" w16cid:durableId="886987624">
    <w:abstractNumId w:val="62"/>
  </w:num>
  <w:num w:numId="94" w16cid:durableId="1855459982">
    <w:abstractNumId w:val="62"/>
  </w:num>
  <w:num w:numId="95" w16cid:durableId="808398754">
    <w:abstractNumId w:val="6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GB" w:vendorID="64" w:dllVersion="6" w:nlCheck="1" w:checkStyle="1"/>
  <w:activeWritingStyle w:appName="MSWord" w:lang="en-US" w:vendorID="64" w:dllVersion="6" w:nlCheck="1" w:checkStyle="0"/>
  <w:activeWritingStyle w:appName="MSWord" w:lang="fr-FR" w:vendorID="64" w:dllVersion="6" w:nlCheck="1" w:checkStyle="0"/>
  <w:activeWritingStyle w:appName="MSWord" w:lang="en-AU" w:vendorID="64" w:dllVersion="6" w:nlCheck="1" w:checkStyle="1"/>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AU" w:vendorID="64" w:dllVersion="0" w:nlCheck="1" w:checkStyle="0"/>
  <w:activeWritingStyle w:appName="MSWord" w:lang="nb-NO"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en-GB" w:vendorID="2" w:dllVersion="6" w:checkStyle="0"/>
  <w:activeWritingStyle w:appName="MSWord" w:lang="sv-SE" w:vendorID="22" w:dllVersion="513" w:checkStyle="1"/>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0E9"/>
    <w:rsid w:val="00000260"/>
    <w:rsid w:val="000005E7"/>
    <w:rsid w:val="000008E4"/>
    <w:rsid w:val="00000EA1"/>
    <w:rsid w:val="00001616"/>
    <w:rsid w:val="00001DE3"/>
    <w:rsid w:val="00002C7F"/>
    <w:rsid w:val="00002F0E"/>
    <w:rsid w:val="00003D45"/>
    <w:rsid w:val="00004990"/>
    <w:rsid w:val="00006B9C"/>
    <w:rsid w:val="00007087"/>
    <w:rsid w:val="00007356"/>
    <w:rsid w:val="00007BD3"/>
    <w:rsid w:val="00010D8E"/>
    <w:rsid w:val="00010E35"/>
    <w:rsid w:val="00012334"/>
    <w:rsid w:val="00012528"/>
    <w:rsid w:val="0001363B"/>
    <w:rsid w:val="00013996"/>
    <w:rsid w:val="00013D33"/>
    <w:rsid w:val="00015C61"/>
    <w:rsid w:val="00015C8D"/>
    <w:rsid w:val="0001616D"/>
    <w:rsid w:val="00016490"/>
    <w:rsid w:val="0001669D"/>
    <w:rsid w:val="00016839"/>
    <w:rsid w:val="00016852"/>
    <w:rsid w:val="000174F9"/>
    <w:rsid w:val="00017712"/>
    <w:rsid w:val="00017A50"/>
    <w:rsid w:val="00017F83"/>
    <w:rsid w:val="00017FE8"/>
    <w:rsid w:val="000210FE"/>
    <w:rsid w:val="000217EF"/>
    <w:rsid w:val="00021D23"/>
    <w:rsid w:val="00022B81"/>
    <w:rsid w:val="00022F2E"/>
    <w:rsid w:val="000238E5"/>
    <w:rsid w:val="00023F7A"/>
    <w:rsid w:val="000249C2"/>
    <w:rsid w:val="000256B1"/>
    <w:rsid w:val="000256CD"/>
    <w:rsid w:val="000258F6"/>
    <w:rsid w:val="00025C4A"/>
    <w:rsid w:val="00026A6A"/>
    <w:rsid w:val="00026AA5"/>
    <w:rsid w:val="00026AB4"/>
    <w:rsid w:val="00027B36"/>
    <w:rsid w:val="00030020"/>
    <w:rsid w:val="00030DE2"/>
    <w:rsid w:val="00030EE2"/>
    <w:rsid w:val="00030EED"/>
    <w:rsid w:val="00031EE6"/>
    <w:rsid w:val="00032185"/>
    <w:rsid w:val="00033704"/>
    <w:rsid w:val="00034112"/>
    <w:rsid w:val="00034296"/>
    <w:rsid w:val="000342F9"/>
    <w:rsid w:val="0003449E"/>
    <w:rsid w:val="00034624"/>
    <w:rsid w:val="00034CDC"/>
    <w:rsid w:val="0003525D"/>
    <w:rsid w:val="000358CE"/>
    <w:rsid w:val="00035E1F"/>
    <w:rsid w:val="00035FA1"/>
    <w:rsid w:val="000369B7"/>
    <w:rsid w:val="00036D9F"/>
    <w:rsid w:val="000374E9"/>
    <w:rsid w:val="00037561"/>
    <w:rsid w:val="00037836"/>
    <w:rsid w:val="000378A7"/>
    <w:rsid w:val="000379A7"/>
    <w:rsid w:val="00040566"/>
    <w:rsid w:val="00040EB8"/>
    <w:rsid w:val="0004173E"/>
    <w:rsid w:val="000418CA"/>
    <w:rsid w:val="00041C69"/>
    <w:rsid w:val="0004255E"/>
    <w:rsid w:val="00042818"/>
    <w:rsid w:val="00043015"/>
    <w:rsid w:val="0004394B"/>
    <w:rsid w:val="00043E74"/>
    <w:rsid w:val="0004405E"/>
    <w:rsid w:val="0004504B"/>
    <w:rsid w:val="00045D80"/>
    <w:rsid w:val="00045F8C"/>
    <w:rsid w:val="000463A5"/>
    <w:rsid w:val="00046746"/>
    <w:rsid w:val="00046D66"/>
    <w:rsid w:val="000473E0"/>
    <w:rsid w:val="000475F3"/>
    <w:rsid w:val="00047BA2"/>
    <w:rsid w:val="00050308"/>
    <w:rsid w:val="00050730"/>
    <w:rsid w:val="00050F02"/>
    <w:rsid w:val="0005129B"/>
    <w:rsid w:val="0005131B"/>
    <w:rsid w:val="00051724"/>
    <w:rsid w:val="00053800"/>
    <w:rsid w:val="00053FB8"/>
    <w:rsid w:val="0005448E"/>
    <w:rsid w:val="0005449E"/>
    <w:rsid w:val="00054C7D"/>
    <w:rsid w:val="00054E22"/>
    <w:rsid w:val="00055838"/>
    <w:rsid w:val="00055938"/>
    <w:rsid w:val="00055E6C"/>
    <w:rsid w:val="0005643A"/>
    <w:rsid w:val="00057045"/>
    <w:rsid w:val="0005747F"/>
    <w:rsid w:val="00057B6D"/>
    <w:rsid w:val="00060005"/>
    <w:rsid w:val="00060662"/>
    <w:rsid w:val="00060B15"/>
    <w:rsid w:val="00060C50"/>
    <w:rsid w:val="000615C5"/>
    <w:rsid w:val="00061835"/>
    <w:rsid w:val="00061A7B"/>
    <w:rsid w:val="00061C0D"/>
    <w:rsid w:val="00061F74"/>
    <w:rsid w:val="000620B3"/>
    <w:rsid w:val="00062425"/>
    <w:rsid w:val="0006268F"/>
    <w:rsid w:val="00062874"/>
    <w:rsid w:val="0006291F"/>
    <w:rsid w:val="00063ACA"/>
    <w:rsid w:val="0006586A"/>
    <w:rsid w:val="00066585"/>
    <w:rsid w:val="000677B3"/>
    <w:rsid w:val="00067D49"/>
    <w:rsid w:val="0007127D"/>
    <w:rsid w:val="00072472"/>
    <w:rsid w:val="000724C7"/>
    <w:rsid w:val="00072524"/>
    <w:rsid w:val="00072CF8"/>
    <w:rsid w:val="00072F32"/>
    <w:rsid w:val="00072FB7"/>
    <w:rsid w:val="0007335A"/>
    <w:rsid w:val="00073405"/>
    <w:rsid w:val="00073608"/>
    <w:rsid w:val="00074214"/>
    <w:rsid w:val="00074233"/>
    <w:rsid w:val="00075560"/>
    <w:rsid w:val="00076059"/>
    <w:rsid w:val="00076A3E"/>
    <w:rsid w:val="00080585"/>
    <w:rsid w:val="000808DB"/>
    <w:rsid w:val="00080D03"/>
    <w:rsid w:val="00080FBF"/>
    <w:rsid w:val="00082A5C"/>
    <w:rsid w:val="00082C85"/>
    <w:rsid w:val="00083B85"/>
    <w:rsid w:val="00085702"/>
    <w:rsid w:val="00085835"/>
    <w:rsid w:val="00085B6A"/>
    <w:rsid w:val="00086017"/>
    <w:rsid w:val="0008654C"/>
    <w:rsid w:val="0008675B"/>
    <w:rsid w:val="00086CA0"/>
    <w:rsid w:val="000870E9"/>
    <w:rsid w:val="00087700"/>
    <w:rsid w:val="00087913"/>
    <w:rsid w:val="00090495"/>
    <w:rsid w:val="000904ED"/>
    <w:rsid w:val="000908E0"/>
    <w:rsid w:val="00091545"/>
    <w:rsid w:val="0009165E"/>
    <w:rsid w:val="000918B3"/>
    <w:rsid w:val="00092994"/>
    <w:rsid w:val="00092F30"/>
    <w:rsid w:val="00093604"/>
    <w:rsid w:val="00093C37"/>
    <w:rsid w:val="00093F46"/>
    <w:rsid w:val="00094742"/>
    <w:rsid w:val="00094B18"/>
    <w:rsid w:val="00094CC1"/>
    <w:rsid w:val="000952D4"/>
    <w:rsid w:val="000954BA"/>
    <w:rsid w:val="000957CD"/>
    <w:rsid w:val="00096414"/>
    <w:rsid w:val="0009651B"/>
    <w:rsid w:val="00096B89"/>
    <w:rsid w:val="00096F46"/>
    <w:rsid w:val="0009756C"/>
    <w:rsid w:val="00097FEF"/>
    <w:rsid w:val="000A04AC"/>
    <w:rsid w:val="000A08CB"/>
    <w:rsid w:val="000A13F9"/>
    <w:rsid w:val="000A148A"/>
    <w:rsid w:val="000A274C"/>
    <w:rsid w:val="000A27A8"/>
    <w:rsid w:val="000A2DAC"/>
    <w:rsid w:val="000A2DE7"/>
    <w:rsid w:val="000A2FB6"/>
    <w:rsid w:val="000A4457"/>
    <w:rsid w:val="000A46EE"/>
    <w:rsid w:val="000A49B9"/>
    <w:rsid w:val="000A55E1"/>
    <w:rsid w:val="000A59C0"/>
    <w:rsid w:val="000A6343"/>
    <w:rsid w:val="000A6E56"/>
    <w:rsid w:val="000A78A9"/>
    <w:rsid w:val="000A7B21"/>
    <w:rsid w:val="000A7D9A"/>
    <w:rsid w:val="000A7D9F"/>
    <w:rsid w:val="000B0489"/>
    <w:rsid w:val="000B058B"/>
    <w:rsid w:val="000B0966"/>
    <w:rsid w:val="000B0CC2"/>
    <w:rsid w:val="000B0FDC"/>
    <w:rsid w:val="000B103E"/>
    <w:rsid w:val="000B15A9"/>
    <w:rsid w:val="000B1A90"/>
    <w:rsid w:val="000B1CB3"/>
    <w:rsid w:val="000B1D0E"/>
    <w:rsid w:val="000B2356"/>
    <w:rsid w:val="000B2442"/>
    <w:rsid w:val="000B2512"/>
    <w:rsid w:val="000B2721"/>
    <w:rsid w:val="000B3CF4"/>
    <w:rsid w:val="000B3EAC"/>
    <w:rsid w:val="000B421F"/>
    <w:rsid w:val="000B51F7"/>
    <w:rsid w:val="000B577B"/>
    <w:rsid w:val="000B5C92"/>
    <w:rsid w:val="000B5D14"/>
    <w:rsid w:val="000B6895"/>
    <w:rsid w:val="000B6963"/>
    <w:rsid w:val="000B6C30"/>
    <w:rsid w:val="000B7884"/>
    <w:rsid w:val="000B7A74"/>
    <w:rsid w:val="000B7DF8"/>
    <w:rsid w:val="000B7F6B"/>
    <w:rsid w:val="000C0864"/>
    <w:rsid w:val="000C0BED"/>
    <w:rsid w:val="000C144C"/>
    <w:rsid w:val="000C1551"/>
    <w:rsid w:val="000C1B8C"/>
    <w:rsid w:val="000C2133"/>
    <w:rsid w:val="000C2318"/>
    <w:rsid w:val="000C2833"/>
    <w:rsid w:val="000C2857"/>
    <w:rsid w:val="000C324F"/>
    <w:rsid w:val="000C32CF"/>
    <w:rsid w:val="000C3E17"/>
    <w:rsid w:val="000C3E88"/>
    <w:rsid w:val="000C3FA5"/>
    <w:rsid w:val="000C4991"/>
    <w:rsid w:val="000C569E"/>
    <w:rsid w:val="000C5C15"/>
    <w:rsid w:val="000C5CBB"/>
    <w:rsid w:val="000C62BB"/>
    <w:rsid w:val="000C698B"/>
    <w:rsid w:val="000C699D"/>
    <w:rsid w:val="000C6A36"/>
    <w:rsid w:val="000C6BBE"/>
    <w:rsid w:val="000C711B"/>
    <w:rsid w:val="000C7312"/>
    <w:rsid w:val="000C7556"/>
    <w:rsid w:val="000D05CC"/>
    <w:rsid w:val="000D1024"/>
    <w:rsid w:val="000D14CE"/>
    <w:rsid w:val="000D1D15"/>
    <w:rsid w:val="000D2431"/>
    <w:rsid w:val="000D2814"/>
    <w:rsid w:val="000D2989"/>
    <w:rsid w:val="000D2D8A"/>
    <w:rsid w:val="000D31CB"/>
    <w:rsid w:val="000D34BE"/>
    <w:rsid w:val="000D3C5D"/>
    <w:rsid w:val="000D4217"/>
    <w:rsid w:val="000D47CE"/>
    <w:rsid w:val="000D49DC"/>
    <w:rsid w:val="000D4A00"/>
    <w:rsid w:val="000D4C59"/>
    <w:rsid w:val="000D4CA1"/>
    <w:rsid w:val="000D567B"/>
    <w:rsid w:val="000D57DB"/>
    <w:rsid w:val="000D5998"/>
    <w:rsid w:val="000D5C93"/>
    <w:rsid w:val="000D63AD"/>
    <w:rsid w:val="000D6602"/>
    <w:rsid w:val="000D67C7"/>
    <w:rsid w:val="000D6E18"/>
    <w:rsid w:val="000D70B8"/>
    <w:rsid w:val="000D741A"/>
    <w:rsid w:val="000D76B7"/>
    <w:rsid w:val="000D7D06"/>
    <w:rsid w:val="000E0502"/>
    <w:rsid w:val="000E0677"/>
    <w:rsid w:val="000E0989"/>
    <w:rsid w:val="000E0E06"/>
    <w:rsid w:val="000E0EC6"/>
    <w:rsid w:val="000E185B"/>
    <w:rsid w:val="000E2515"/>
    <w:rsid w:val="000E28CC"/>
    <w:rsid w:val="000E2A0A"/>
    <w:rsid w:val="000E2F4A"/>
    <w:rsid w:val="000E34D3"/>
    <w:rsid w:val="000E37AC"/>
    <w:rsid w:val="000E3954"/>
    <w:rsid w:val="000E3AE0"/>
    <w:rsid w:val="000E3D57"/>
    <w:rsid w:val="000E3E52"/>
    <w:rsid w:val="000E433F"/>
    <w:rsid w:val="000E4653"/>
    <w:rsid w:val="000E49E3"/>
    <w:rsid w:val="000E5704"/>
    <w:rsid w:val="000E60BF"/>
    <w:rsid w:val="000E6DB6"/>
    <w:rsid w:val="000E6E26"/>
    <w:rsid w:val="000E7C59"/>
    <w:rsid w:val="000F0B03"/>
    <w:rsid w:val="000F0C93"/>
    <w:rsid w:val="000F0F9F"/>
    <w:rsid w:val="000F1A14"/>
    <w:rsid w:val="000F22C4"/>
    <w:rsid w:val="000F23F4"/>
    <w:rsid w:val="000F291A"/>
    <w:rsid w:val="000F2ED4"/>
    <w:rsid w:val="000F3621"/>
    <w:rsid w:val="000F3F43"/>
    <w:rsid w:val="000F4996"/>
    <w:rsid w:val="000F5547"/>
    <w:rsid w:val="000F58ED"/>
    <w:rsid w:val="000F5D40"/>
    <w:rsid w:val="000F7A01"/>
    <w:rsid w:val="00100182"/>
    <w:rsid w:val="001017EF"/>
    <w:rsid w:val="0010189B"/>
    <w:rsid w:val="00101D4F"/>
    <w:rsid w:val="00102908"/>
    <w:rsid w:val="00103253"/>
    <w:rsid w:val="00103925"/>
    <w:rsid w:val="00103E6B"/>
    <w:rsid w:val="00104863"/>
    <w:rsid w:val="00104A7C"/>
    <w:rsid w:val="00104EA8"/>
    <w:rsid w:val="0010529E"/>
    <w:rsid w:val="00105FE6"/>
    <w:rsid w:val="00107138"/>
    <w:rsid w:val="00107B6D"/>
    <w:rsid w:val="00110547"/>
    <w:rsid w:val="00110849"/>
    <w:rsid w:val="00112278"/>
    <w:rsid w:val="00112409"/>
    <w:rsid w:val="0011356B"/>
    <w:rsid w:val="00113ACE"/>
    <w:rsid w:val="00113D5B"/>
    <w:rsid w:val="00113EAC"/>
    <w:rsid w:val="00113F8F"/>
    <w:rsid w:val="00114754"/>
    <w:rsid w:val="00114E60"/>
    <w:rsid w:val="00115055"/>
    <w:rsid w:val="001150A2"/>
    <w:rsid w:val="00115137"/>
    <w:rsid w:val="001153BE"/>
    <w:rsid w:val="001157EC"/>
    <w:rsid w:val="001158DB"/>
    <w:rsid w:val="00116854"/>
    <w:rsid w:val="00116AF2"/>
    <w:rsid w:val="001174A6"/>
    <w:rsid w:val="00117DEA"/>
    <w:rsid w:val="00121616"/>
    <w:rsid w:val="00121730"/>
    <w:rsid w:val="00121D4D"/>
    <w:rsid w:val="00121F1B"/>
    <w:rsid w:val="00121FB4"/>
    <w:rsid w:val="001221EC"/>
    <w:rsid w:val="001223C8"/>
    <w:rsid w:val="001227AD"/>
    <w:rsid w:val="00122A3F"/>
    <w:rsid w:val="001236B5"/>
    <w:rsid w:val="00124848"/>
    <w:rsid w:val="001252C8"/>
    <w:rsid w:val="001258F9"/>
    <w:rsid w:val="001262E3"/>
    <w:rsid w:val="001264C0"/>
    <w:rsid w:val="0012664B"/>
    <w:rsid w:val="00126997"/>
    <w:rsid w:val="00126D34"/>
    <w:rsid w:val="00126DCE"/>
    <w:rsid w:val="0012729C"/>
    <w:rsid w:val="00127640"/>
    <w:rsid w:val="00127955"/>
    <w:rsid w:val="001303DE"/>
    <w:rsid w:val="0013088E"/>
    <w:rsid w:val="001309F5"/>
    <w:rsid w:val="00131920"/>
    <w:rsid w:val="00131F98"/>
    <w:rsid w:val="00132AE2"/>
    <w:rsid w:val="0013311B"/>
    <w:rsid w:val="00133205"/>
    <w:rsid w:val="001335DE"/>
    <w:rsid w:val="001349DB"/>
    <w:rsid w:val="00134B56"/>
    <w:rsid w:val="00134B86"/>
    <w:rsid w:val="00135AEB"/>
    <w:rsid w:val="00135BCC"/>
    <w:rsid w:val="00135F8E"/>
    <w:rsid w:val="00136D66"/>
    <w:rsid w:val="00136E4A"/>
    <w:rsid w:val="00136E58"/>
    <w:rsid w:val="0013729C"/>
    <w:rsid w:val="001373DF"/>
    <w:rsid w:val="0013774E"/>
    <w:rsid w:val="0014060A"/>
    <w:rsid w:val="00141ABA"/>
    <w:rsid w:val="0014283F"/>
    <w:rsid w:val="001428CC"/>
    <w:rsid w:val="00144794"/>
    <w:rsid w:val="0014509B"/>
    <w:rsid w:val="00145207"/>
    <w:rsid w:val="001452BF"/>
    <w:rsid w:val="0014597C"/>
    <w:rsid w:val="00145DE3"/>
    <w:rsid w:val="00145DE9"/>
    <w:rsid w:val="00146EA2"/>
    <w:rsid w:val="0014723F"/>
    <w:rsid w:val="00147554"/>
    <w:rsid w:val="0014762F"/>
    <w:rsid w:val="00147755"/>
    <w:rsid w:val="00150473"/>
    <w:rsid w:val="001509D2"/>
    <w:rsid w:val="00150D49"/>
    <w:rsid w:val="0015195D"/>
    <w:rsid w:val="00151BFE"/>
    <w:rsid w:val="001529C4"/>
    <w:rsid w:val="00152F79"/>
    <w:rsid w:val="001535C6"/>
    <w:rsid w:val="00153961"/>
    <w:rsid w:val="00154494"/>
    <w:rsid w:val="001547F9"/>
    <w:rsid w:val="00154B4A"/>
    <w:rsid w:val="00154B61"/>
    <w:rsid w:val="0015518C"/>
    <w:rsid w:val="001553EE"/>
    <w:rsid w:val="00155FBC"/>
    <w:rsid w:val="00157068"/>
    <w:rsid w:val="00157D5F"/>
    <w:rsid w:val="00160668"/>
    <w:rsid w:val="001607D8"/>
    <w:rsid w:val="00160E7F"/>
    <w:rsid w:val="001612B1"/>
    <w:rsid w:val="00161325"/>
    <w:rsid w:val="00161401"/>
    <w:rsid w:val="001614D7"/>
    <w:rsid w:val="001615EF"/>
    <w:rsid w:val="00161A90"/>
    <w:rsid w:val="001621BA"/>
    <w:rsid w:val="001623F0"/>
    <w:rsid w:val="00162612"/>
    <w:rsid w:val="001630CE"/>
    <w:rsid w:val="001635F3"/>
    <w:rsid w:val="00164394"/>
    <w:rsid w:val="001648A3"/>
    <w:rsid w:val="00164FCD"/>
    <w:rsid w:val="00165BDC"/>
    <w:rsid w:val="001664A6"/>
    <w:rsid w:val="001669EE"/>
    <w:rsid w:val="00166B3E"/>
    <w:rsid w:val="00167C33"/>
    <w:rsid w:val="00170143"/>
    <w:rsid w:val="001709CC"/>
    <w:rsid w:val="00171203"/>
    <w:rsid w:val="0017147B"/>
    <w:rsid w:val="00171C66"/>
    <w:rsid w:val="00171DCF"/>
    <w:rsid w:val="001721D1"/>
    <w:rsid w:val="001721FB"/>
    <w:rsid w:val="0017225C"/>
    <w:rsid w:val="001724C9"/>
    <w:rsid w:val="001725D4"/>
    <w:rsid w:val="00172659"/>
    <w:rsid w:val="00172B02"/>
    <w:rsid w:val="00173602"/>
    <w:rsid w:val="00173FD7"/>
    <w:rsid w:val="001746C1"/>
    <w:rsid w:val="0017471C"/>
    <w:rsid w:val="00174EF2"/>
    <w:rsid w:val="0017535C"/>
    <w:rsid w:val="00175F16"/>
    <w:rsid w:val="0017673C"/>
    <w:rsid w:val="00176BB8"/>
    <w:rsid w:val="00176C4D"/>
    <w:rsid w:val="001772C0"/>
    <w:rsid w:val="0017731E"/>
    <w:rsid w:val="0017732E"/>
    <w:rsid w:val="00180150"/>
    <w:rsid w:val="00180172"/>
    <w:rsid w:val="001812B8"/>
    <w:rsid w:val="00182B9C"/>
    <w:rsid w:val="0018342F"/>
    <w:rsid w:val="00183C58"/>
    <w:rsid w:val="00184427"/>
    <w:rsid w:val="0018502C"/>
    <w:rsid w:val="00185B0C"/>
    <w:rsid w:val="00186503"/>
    <w:rsid w:val="00186928"/>
    <w:rsid w:val="00186BF0"/>
    <w:rsid w:val="00186FED"/>
    <w:rsid w:val="001875B1"/>
    <w:rsid w:val="00190193"/>
    <w:rsid w:val="00190C9A"/>
    <w:rsid w:val="00191120"/>
    <w:rsid w:val="0019129C"/>
    <w:rsid w:val="001916BF"/>
    <w:rsid w:val="0019173E"/>
    <w:rsid w:val="001918B7"/>
    <w:rsid w:val="001918F3"/>
    <w:rsid w:val="00192512"/>
    <w:rsid w:val="001926E5"/>
    <w:rsid w:val="00192A05"/>
    <w:rsid w:val="00192C18"/>
    <w:rsid w:val="00192CC9"/>
    <w:rsid w:val="00192E3D"/>
    <w:rsid w:val="00192FA3"/>
    <w:rsid w:val="00193D08"/>
    <w:rsid w:val="00194327"/>
    <w:rsid w:val="00194766"/>
    <w:rsid w:val="001949EB"/>
    <w:rsid w:val="00194ABC"/>
    <w:rsid w:val="001950B7"/>
    <w:rsid w:val="00195A6E"/>
    <w:rsid w:val="00195D7F"/>
    <w:rsid w:val="0019618D"/>
    <w:rsid w:val="001962A2"/>
    <w:rsid w:val="001966AB"/>
    <w:rsid w:val="00196869"/>
    <w:rsid w:val="00196AB1"/>
    <w:rsid w:val="00196B1A"/>
    <w:rsid w:val="00196C3C"/>
    <w:rsid w:val="00196C78"/>
    <w:rsid w:val="00196D6F"/>
    <w:rsid w:val="001A03BB"/>
    <w:rsid w:val="001A055A"/>
    <w:rsid w:val="001A0863"/>
    <w:rsid w:val="001A1073"/>
    <w:rsid w:val="001A141A"/>
    <w:rsid w:val="001A18CC"/>
    <w:rsid w:val="001A1A5B"/>
    <w:rsid w:val="001A1CDE"/>
    <w:rsid w:val="001A20A2"/>
    <w:rsid w:val="001A2988"/>
    <w:rsid w:val="001A2DCA"/>
    <w:rsid w:val="001A387A"/>
    <w:rsid w:val="001A3965"/>
    <w:rsid w:val="001A3A31"/>
    <w:rsid w:val="001A45B6"/>
    <w:rsid w:val="001A4CEA"/>
    <w:rsid w:val="001A4D84"/>
    <w:rsid w:val="001A4ED3"/>
    <w:rsid w:val="001A60D0"/>
    <w:rsid w:val="001A73A2"/>
    <w:rsid w:val="001A73B9"/>
    <w:rsid w:val="001A7537"/>
    <w:rsid w:val="001B036E"/>
    <w:rsid w:val="001B03D4"/>
    <w:rsid w:val="001B049C"/>
    <w:rsid w:val="001B1548"/>
    <w:rsid w:val="001B180E"/>
    <w:rsid w:val="001B1EF6"/>
    <w:rsid w:val="001B2362"/>
    <w:rsid w:val="001B24D7"/>
    <w:rsid w:val="001B2A35"/>
    <w:rsid w:val="001B2DCA"/>
    <w:rsid w:val="001B3305"/>
    <w:rsid w:val="001B339A"/>
    <w:rsid w:val="001B3D22"/>
    <w:rsid w:val="001B4177"/>
    <w:rsid w:val="001B460E"/>
    <w:rsid w:val="001B481F"/>
    <w:rsid w:val="001B4AC2"/>
    <w:rsid w:val="001B4E44"/>
    <w:rsid w:val="001B60A6"/>
    <w:rsid w:val="001B699B"/>
    <w:rsid w:val="001B7967"/>
    <w:rsid w:val="001B7A33"/>
    <w:rsid w:val="001C00D7"/>
    <w:rsid w:val="001C0A11"/>
    <w:rsid w:val="001C144F"/>
    <w:rsid w:val="001C2971"/>
    <w:rsid w:val="001C3601"/>
    <w:rsid w:val="001C3709"/>
    <w:rsid w:val="001C39B7"/>
    <w:rsid w:val="001C3D4A"/>
    <w:rsid w:val="001C4048"/>
    <w:rsid w:val="001C4200"/>
    <w:rsid w:val="001C4C7F"/>
    <w:rsid w:val="001C4CA1"/>
    <w:rsid w:val="001C4E73"/>
    <w:rsid w:val="001C58B0"/>
    <w:rsid w:val="001C650B"/>
    <w:rsid w:val="001C6B7D"/>
    <w:rsid w:val="001C72B5"/>
    <w:rsid w:val="001C75BA"/>
    <w:rsid w:val="001C767E"/>
    <w:rsid w:val="001C77FB"/>
    <w:rsid w:val="001C7E59"/>
    <w:rsid w:val="001D00A8"/>
    <w:rsid w:val="001D03A5"/>
    <w:rsid w:val="001D092E"/>
    <w:rsid w:val="001D0BEA"/>
    <w:rsid w:val="001D0E17"/>
    <w:rsid w:val="001D11AC"/>
    <w:rsid w:val="001D17D7"/>
    <w:rsid w:val="001D1845"/>
    <w:rsid w:val="001D23D5"/>
    <w:rsid w:val="001D2E7A"/>
    <w:rsid w:val="001D323B"/>
    <w:rsid w:val="001D3992"/>
    <w:rsid w:val="001D3FB6"/>
    <w:rsid w:val="001D45A1"/>
    <w:rsid w:val="001D4A3E"/>
    <w:rsid w:val="001D4B6B"/>
    <w:rsid w:val="001D4D12"/>
    <w:rsid w:val="001D5975"/>
    <w:rsid w:val="001D66F6"/>
    <w:rsid w:val="001D673F"/>
    <w:rsid w:val="001D6E21"/>
    <w:rsid w:val="001D71AA"/>
    <w:rsid w:val="001D76E8"/>
    <w:rsid w:val="001D7E12"/>
    <w:rsid w:val="001E0428"/>
    <w:rsid w:val="001E0D95"/>
    <w:rsid w:val="001E1163"/>
    <w:rsid w:val="001E1278"/>
    <w:rsid w:val="001E22F5"/>
    <w:rsid w:val="001E274B"/>
    <w:rsid w:val="001E32E5"/>
    <w:rsid w:val="001E3479"/>
    <w:rsid w:val="001E34BB"/>
    <w:rsid w:val="001E3662"/>
    <w:rsid w:val="001E379A"/>
    <w:rsid w:val="001E3899"/>
    <w:rsid w:val="001E3AEE"/>
    <w:rsid w:val="001E416D"/>
    <w:rsid w:val="001E5B01"/>
    <w:rsid w:val="001E6569"/>
    <w:rsid w:val="001E6743"/>
    <w:rsid w:val="001E705D"/>
    <w:rsid w:val="001E79E5"/>
    <w:rsid w:val="001E7DE6"/>
    <w:rsid w:val="001F0F5E"/>
    <w:rsid w:val="001F2D09"/>
    <w:rsid w:val="001F3433"/>
    <w:rsid w:val="001F3472"/>
    <w:rsid w:val="001F3971"/>
    <w:rsid w:val="001F452E"/>
    <w:rsid w:val="001F4EF8"/>
    <w:rsid w:val="001F4F11"/>
    <w:rsid w:val="001F555F"/>
    <w:rsid w:val="001F574E"/>
    <w:rsid w:val="001F5AB1"/>
    <w:rsid w:val="001F61C2"/>
    <w:rsid w:val="001F6331"/>
    <w:rsid w:val="001F70A7"/>
    <w:rsid w:val="001F78F5"/>
    <w:rsid w:val="001F7B25"/>
    <w:rsid w:val="001F7E71"/>
    <w:rsid w:val="00200463"/>
    <w:rsid w:val="00200579"/>
    <w:rsid w:val="00200785"/>
    <w:rsid w:val="00200922"/>
    <w:rsid w:val="00200FC0"/>
    <w:rsid w:val="00201337"/>
    <w:rsid w:val="00201579"/>
    <w:rsid w:val="002022EA"/>
    <w:rsid w:val="002023AD"/>
    <w:rsid w:val="00202CB2"/>
    <w:rsid w:val="002031E3"/>
    <w:rsid w:val="002036E4"/>
    <w:rsid w:val="00203853"/>
    <w:rsid w:val="00203B19"/>
    <w:rsid w:val="0020409B"/>
    <w:rsid w:val="002042D2"/>
    <w:rsid w:val="002044E9"/>
    <w:rsid w:val="00204A2E"/>
    <w:rsid w:val="00204E46"/>
    <w:rsid w:val="00204F13"/>
    <w:rsid w:val="00205710"/>
    <w:rsid w:val="00205B17"/>
    <w:rsid w:val="00205D9B"/>
    <w:rsid w:val="00207C54"/>
    <w:rsid w:val="00211287"/>
    <w:rsid w:val="002115A6"/>
    <w:rsid w:val="0021256A"/>
    <w:rsid w:val="00213436"/>
    <w:rsid w:val="002135E9"/>
    <w:rsid w:val="00213777"/>
    <w:rsid w:val="002139AE"/>
    <w:rsid w:val="00214033"/>
    <w:rsid w:val="00214BC1"/>
    <w:rsid w:val="002150D3"/>
    <w:rsid w:val="002160F8"/>
    <w:rsid w:val="00216C3F"/>
    <w:rsid w:val="00216ECB"/>
    <w:rsid w:val="00216FD1"/>
    <w:rsid w:val="00217496"/>
    <w:rsid w:val="002176C4"/>
    <w:rsid w:val="00217880"/>
    <w:rsid w:val="002204DA"/>
    <w:rsid w:val="002205A1"/>
    <w:rsid w:val="002212BB"/>
    <w:rsid w:val="002213A7"/>
    <w:rsid w:val="00221A3C"/>
    <w:rsid w:val="00221CEF"/>
    <w:rsid w:val="002226F8"/>
    <w:rsid w:val="00222919"/>
    <w:rsid w:val="0022371A"/>
    <w:rsid w:val="002243CB"/>
    <w:rsid w:val="00224619"/>
    <w:rsid w:val="00224DAB"/>
    <w:rsid w:val="002252D3"/>
    <w:rsid w:val="002256A6"/>
    <w:rsid w:val="0022582A"/>
    <w:rsid w:val="00225EA3"/>
    <w:rsid w:val="00226375"/>
    <w:rsid w:val="00226637"/>
    <w:rsid w:val="00226A68"/>
    <w:rsid w:val="0022769A"/>
    <w:rsid w:val="00227D8C"/>
    <w:rsid w:val="00230118"/>
    <w:rsid w:val="002302A8"/>
    <w:rsid w:val="002310C9"/>
    <w:rsid w:val="00231AA7"/>
    <w:rsid w:val="00231FCC"/>
    <w:rsid w:val="002324C2"/>
    <w:rsid w:val="002327ED"/>
    <w:rsid w:val="002329F4"/>
    <w:rsid w:val="00233135"/>
    <w:rsid w:val="00234775"/>
    <w:rsid w:val="00234BAD"/>
    <w:rsid w:val="002357B2"/>
    <w:rsid w:val="00235C69"/>
    <w:rsid w:val="002371C7"/>
    <w:rsid w:val="00237785"/>
    <w:rsid w:val="00237A2B"/>
    <w:rsid w:val="00240039"/>
    <w:rsid w:val="002406D3"/>
    <w:rsid w:val="002409D3"/>
    <w:rsid w:val="00240A06"/>
    <w:rsid w:val="002411B7"/>
    <w:rsid w:val="002415B3"/>
    <w:rsid w:val="002416BC"/>
    <w:rsid w:val="00241B33"/>
    <w:rsid w:val="00242093"/>
    <w:rsid w:val="002425FC"/>
    <w:rsid w:val="00243285"/>
    <w:rsid w:val="00243480"/>
    <w:rsid w:val="00244208"/>
    <w:rsid w:val="00244E3D"/>
    <w:rsid w:val="00244E7A"/>
    <w:rsid w:val="00245EFF"/>
    <w:rsid w:val="00246546"/>
    <w:rsid w:val="002475FC"/>
    <w:rsid w:val="002477F0"/>
    <w:rsid w:val="00247AB2"/>
    <w:rsid w:val="00247EA4"/>
    <w:rsid w:val="0025003C"/>
    <w:rsid w:val="002505E9"/>
    <w:rsid w:val="00250EB9"/>
    <w:rsid w:val="00251A43"/>
    <w:rsid w:val="00251FB9"/>
    <w:rsid w:val="002520AD"/>
    <w:rsid w:val="0025226E"/>
    <w:rsid w:val="0025315F"/>
    <w:rsid w:val="00253379"/>
    <w:rsid w:val="0025583E"/>
    <w:rsid w:val="00255B19"/>
    <w:rsid w:val="00255FD9"/>
    <w:rsid w:val="002563E9"/>
    <w:rsid w:val="0025660A"/>
    <w:rsid w:val="00256801"/>
    <w:rsid w:val="00257504"/>
    <w:rsid w:val="002579BA"/>
    <w:rsid w:val="00257DF8"/>
    <w:rsid w:val="00257E4A"/>
    <w:rsid w:val="00257F75"/>
    <w:rsid w:val="0026038D"/>
    <w:rsid w:val="00260487"/>
    <w:rsid w:val="0026056C"/>
    <w:rsid w:val="002606C2"/>
    <w:rsid w:val="0026097D"/>
    <w:rsid w:val="00261271"/>
    <w:rsid w:val="002615BC"/>
    <w:rsid w:val="002617BA"/>
    <w:rsid w:val="0026275D"/>
    <w:rsid w:val="00262E69"/>
    <w:rsid w:val="00263780"/>
    <w:rsid w:val="002637C2"/>
    <w:rsid w:val="00263813"/>
    <w:rsid w:val="00263D78"/>
    <w:rsid w:val="002643CB"/>
    <w:rsid w:val="0026507F"/>
    <w:rsid w:val="0026542A"/>
    <w:rsid w:val="00265625"/>
    <w:rsid w:val="00265C77"/>
    <w:rsid w:val="00265F20"/>
    <w:rsid w:val="002668A9"/>
    <w:rsid w:val="00266C6A"/>
    <w:rsid w:val="00266D97"/>
    <w:rsid w:val="00270338"/>
    <w:rsid w:val="0027045E"/>
    <w:rsid w:val="00270B40"/>
    <w:rsid w:val="0027175D"/>
    <w:rsid w:val="00271BCD"/>
    <w:rsid w:val="002723E6"/>
    <w:rsid w:val="00272551"/>
    <w:rsid w:val="002735DD"/>
    <w:rsid w:val="00273EE8"/>
    <w:rsid w:val="00274472"/>
    <w:rsid w:val="00274B97"/>
    <w:rsid w:val="00275175"/>
    <w:rsid w:val="00275DC5"/>
    <w:rsid w:val="00275F6F"/>
    <w:rsid w:val="002764CB"/>
    <w:rsid w:val="00276635"/>
    <w:rsid w:val="0027679A"/>
    <w:rsid w:val="0027703F"/>
    <w:rsid w:val="002776FA"/>
    <w:rsid w:val="00277A20"/>
    <w:rsid w:val="00277B84"/>
    <w:rsid w:val="00277C8B"/>
    <w:rsid w:val="00280221"/>
    <w:rsid w:val="00280596"/>
    <w:rsid w:val="00280599"/>
    <w:rsid w:val="002806CA"/>
    <w:rsid w:val="00280893"/>
    <w:rsid w:val="0028169F"/>
    <w:rsid w:val="002818F3"/>
    <w:rsid w:val="0028295D"/>
    <w:rsid w:val="0028370D"/>
    <w:rsid w:val="00283BA5"/>
    <w:rsid w:val="00283F26"/>
    <w:rsid w:val="00283F41"/>
    <w:rsid w:val="002843C2"/>
    <w:rsid w:val="00285089"/>
    <w:rsid w:val="0028524A"/>
    <w:rsid w:val="00285AF0"/>
    <w:rsid w:val="00286017"/>
    <w:rsid w:val="00286250"/>
    <w:rsid w:val="00286626"/>
    <w:rsid w:val="0028711F"/>
    <w:rsid w:val="002875D5"/>
    <w:rsid w:val="0028768A"/>
    <w:rsid w:val="00287933"/>
    <w:rsid w:val="00287CC0"/>
    <w:rsid w:val="00290909"/>
    <w:rsid w:val="00290AF3"/>
    <w:rsid w:val="0029139F"/>
    <w:rsid w:val="00291874"/>
    <w:rsid w:val="00291E5B"/>
    <w:rsid w:val="00293C22"/>
    <w:rsid w:val="00293F1D"/>
    <w:rsid w:val="00293FFA"/>
    <w:rsid w:val="00294CA5"/>
    <w:rsid w:val="00295280"/>
    <w:rsid w:val="00295EF9"/>
    <w:rsid w:val="00296AE1"/>
    <w:rsid w:val="00297895"/>
    <w:rsid w:val="0029793F"/>
    <w:rsid w:val="002A01AA"/>
    <w:rsid w:val="002A0C4C"/>
    <w:rsid w:val="002A1490"/>
    <w:rsid w:val="002A1C42"/>
    <w:rsid w:val="002A1CF8"/>
    <w:rsid w:val="002A3009"/>
    <w:rsid w:val="002A35A3"/>
    <w:rsid w:val="002A3832"/>
    <w:rsid w:val="002A3CF3"/>
    <w:rsid w:val="002A4E32"/>
    <w:rsid w:val="002A5EF1"/>
    <w:rsid w:val="002A617C"/>
    <w:rsid w:val="002A6761"/>
    <w:rsid w:val="002A6C66"/>
    <w:rsid w:val="002A6FF1"/>
    <w:rsid w:val="002A71CF"/>
    <w:rsid w:val="002A7E5A"/>
    <w:rsid w:val="002B02F1"/>
    <w:rsid w:val="002B0E52"/>
    <w:rsid w:val="002B0FB0"/>
    <w:rsid w:val="002B18D5"/>
    <w:rsid w:val="002B1AB0"/>
    <w:rsid w:val="002B1B7D"/>
    <w:rsid w:val="002B1E25"/>
    <w:rsid w:val="002B27CF"/>
    <w:rsid w:val="002B2BBA"/>
    <w:rsid w:val="002B32E2"/>
    <w:rsid w:val="002B338F"/>
    <w:rsid w:val="002B3E64"/>
    <w:rsid w:val="002B3E9D"/>
    <w:rsid w:val="002B4DD2"/>
    <w:rsid w:val="002B528E"/>
    <w:rsid w:val="002B574E"/>
    <w:rsid w:val="002B5C32"/>
    <w:rsid w:val="002B5F8A"/>
    <w:rsid w:val="002B6F82"/>
    <w:rsid w:val="002B77D5"/>
    <w:rsid w:val="002B7DE2"/>
    <w:rsid w:val="002C04CF"/>
    <w:rsid w:val="002C06A0"/>
    <w:rsid w:val="002C134A"/>
    <w:rsid w:val="002C1457"/>
    <w:rsid w:val="002C16BC"/>
    <w:rsid w:val="002C1888"/>
    <w:rsid w:val="002C1D5A"/>
    <w:rsid w:val="002C1E38"/>
    <w:rsid w:val="002C20EB"/>
    <w:rsid w:val="002C2640"/>
    <w:rsid w:val="002C2DFA"/>
    <w:rsid w:val="002C357D"/>
    <w:rsid w:val="002C38CA"/>
    <w:rsid w:val="002C3AC3"/>
    <w:rsid w:val="002C3B82"/>
    <w:rsid w:val="002C3E2C"/>
    <w:rsid w:val="002C495F"/>
    <w:rsid w:val="002C4F43"/>
    <w:rsid w:val="002C5092"/>
    <w:rsid w:val="002C51EC"/>
    <w:rsid w:val="002C58FF"/>
    <w:rsid w:val="002C605E"/>
    <w:rsid w:val="002C65F7"/>
    <w:rsid w:val="002C66B8"/>
    <w:rsid w:val="002C73E4"/>
    <w:rsid w:val="002C7790"/>
    <w:rsid w:val="002C77F4"/>
    <w:rsid w:val="002C793F"/>
    <w:rsid w:val="002C7C08"/>
    <w:rsid w:val="002C7DA7"/>
    <w:rsid w:val="002D01D0"/>
    <w:rsid w:val="002D0501"/>
    <w:rsid w:val="002D0869"/>
    <w:rsid w:val="002D1408"/>
    <w:rsid w:val="002D1458"/>
    <w:rsid w:val="002D162B"/>
    <w:rsid w:val="002D171E"/>
    <w:rsid w:val="002D2457"/>
    <w:rsid w:val="002D2945"/>
    <w:rsid w:val="002D29ED"/>
    <w:rsid w:val="002D2AF7"/>
    <w:rsid w:val="002D2FE3"/>
    <w:rsid w:val="002D2FED"/>
    <w:rsid w:val="002D347F"/>
    <w:rsid w:val="002D4487"/>
    <w:rsid w:val="002D4B63"/>
    <w:rsid w:val="002D505D"/>
    <w:rsid w:val="002D5309"/>
    <w:rsid w:val="002D6D34"/>
    <w:rsid w:val="002D7645"/>
    <w:rsid w:val="002D77C3"/>
    <w:rsid w:val="002D78FE"/>
    <w:rsid w:val="002E026A"/>
    <w:rsid w:val="002E09BA"/>
    <w:rsid w:val="002E1402"/>
    <w:rsid w:val="002E168B"/>
    <w:rsid w:val="002E1750"/>
    <w:rsid w:val="002E180B"/>
    <w:rsid w:val="002E1F02"/>
    <w:rsid w:val="002E2C7D"/>
    <w:rsid w:val="002E31DA"/>
    <w:rsid w:val="002E3DCD"/>
    <w:rsid w:val="002E4467"/>
    <w:rsid w:val="002E46A0"/>
    <w:rsid w:val="002E4993"/>
    <w:rsid w:val="002E4DB2"/>
    <w:rsid w:val="002E4F73"/>
    <w:rsid w:val="002E54B5"/>
    <w:rsid w:val="002E5559"/>
    <w:rsid w:val="002E560E"/>
    <w:rsid w:val="002E5A20"/>
    <w:rsid w:val="002E5BAC"/>
    <w:rsid w:val="002E5E09"/>
    <w:rsid w:val="002E6010"/>
    <w:rsid w:val="002E6470"/>
    <w:rsid w:val="002E6BD8"/>
    <w:rsid w:val="002E7635"/>
    <w:rsid w:val="002E7735"/>
    <w:rsid w:val="002E7B14"/>
    <w:rsid w:val="002E7FC5"/>
    <w:rsid w:val="002F04F1"/>
    <w:rsid w:val="002F067E"/>
    <w:rsid w:val="002F0CDC"/>
    <w:rsid w:val="002F1DC6"/>
    <w:rsid w:val="002F2311"/>
    <w:rsid w:val="002F2576"/>
    <w:rsid w:val="002F265A"/>
    <w:rsid w:val="002F2680"/>
    <w:rsid w:val="002F3144"/>
    <w:rsid w:val="002F389B"/>
    <w:rsid w:val="002F3B40"/>
    <w:rsid w:val="002F3D47"/>
    <w:rsid w:val="002F3D93"/>
    <w:rsid w:val="002F40CE"/>
    <w:rsid w:val="002F5B59"/>
    <w:rsid w:val="002F5FCF"/>
    <w:rsid w:val="002F7197"/>
    <w:rsid w:val="002F7774"/>
    <w:rsid w:val="002F7C99"/>
    <w:rsid w:val="0030051B"/>
    <w:rsid w:val="003006CC"/>
    <w:rsid w:val="003012ED"/>
    <w:rsid w:val="0030141D"/>
    <w:rsid w:val="00301535"/>
    <w:rsid w:val="00301536"/>
    <w:rsid w:val="0030197A"/>
    <w:rsid w:val="00301AE4"/>
    <w:rsid w:val="0030256B"/>
    <w:rsid w:val="0030279B"/>
    <w:rsid w:val="003027A0"/>
    <w:rsid w:val="003032C4"/>
    <w:rsid w:val="00303353"/>
    <w:rsid w:val="00303722"/>
    <w:rsid w:val="003037D1"/>
    <w:rsid w:val="003039A6"/>
    <w:rsid w:val="0030413F"/>
    <w:rsid w:val="00304C01"/>
    <w:rsid w:val="00304E7E"/>
    <w:rsid w:val="00305035"/>
    <w:rsid w:val="00305075"/>
    <w:rsid w:val="00305DF0"/>
    <w:rsid w:val="00305E07"/>
    <w:rsid w:val="00305EFE"/>
    <w:rsid w:val="00306851"/>
    <w:rsid w:val="003078CC"/>
    <w:rsid w:val="00307C55"/>
    <w:rsid w:val="00310431"/>
    <w:rsid w:val="0031055C"/>
    <w:rsid w:val="0031070C"/>
    <w:rsid w:val="0031078C"/>
    <w:rsid w:val="00310BC1"/>
    <w:rsid w:val="00310F26"/>
    <w:rsid w:val="0031253D"/>
    <w:rsid w:val="003126B6"/>
    <w:rsid w:val="0031289A"/>
    <w:rsid w:val="00312D10"/>
    <w:rsid w:val="00312EF0"/>
    <w:rsid w:val="003137E9"/>
    <w:rsid w:val="00313B4B"/>
    <w:rsid w:val="00313D13"/>
    <w:rsid w:val="00313D85"/>
    <w:rsid w:val="003142D5"/>
    <w:rsid w:val="00315067"/>
    <w:rsid w:val="00315CE3"/>
    <w:rsid w:val="0031629B"/>
    <w:rsid w:val="003167CB"/>
    <w:rsid w:val="003169F8"/>
    <w:rsid w:val="00316B66"/>
    <w:rsid w:val="00316F86"/>
    <w:rsid w:val="0031750B"/>
    <w:rsid w:val="00317BC8"/>
    <w:rsid w:val="00317F49"/>
    <w:rsid w:val="00320AA6"/>
    <w:rsid w:val="00321067"/>
    <w:rsid w:val="0032109D"/>
    <w:rsid w:val="003213C2"/>
    <w:rsid w:val="00321B03"/>
    <w:rsid w:val="00323A13"/>
    <w:rsid w:val="00324049"/>
    <w:rsid w:val="00324738"/>
    <w:rsid w:val="003247D8"/>
    <w:rsid w:val="00325090"/>
    <w:rsid w:val="003251FE"/>
    <w:rsid w:val="00325477"/>
    <w:rsid w:val="00325711"/>
    <w:rsid w:val="00325A0C"/>
    <w:rsid w:val="00325D00"/>
    <w:rsid w:val="00325D9A"/>
    <w:rsid w:val="00326BB4"/>
    <w:rsid w:val="003273B6"/>
    <w:rsid w:val="003274DB"/>
    <w:rsid w:val="00327537"/>
    <w:rsid w:val="003276DE"/>
    <w:rsid w:val="003277AE"/>
    <w:rsid w:val="00327AE9"/>
    <w:rsid w:val="00327FBF"/>
    <w:rsid w:val="003303E1"/>
    <w:rsid w:val="0033070B"/>
    <w:rsid w:val="00330710"/>
    <w:rsid w:val="0033079C"/>
    <w:rsid w:val="00331791"/>
    <w:rsid w:val="003317AE"/>
    <w:rsid w:val="003327BE"/>
    <w:rsid w:val="00332A7B"/>
    <w:rsid w:val="003335C4"/>
    <w:rsid w:val="0033397E"/>
    <w:rsid w:val="00333A9B"/>
    <w:rsid w:val="003343E0"/>
    <w:rsid w:val="003344C6"/>
    <w:rsid w:val="00335043"/>
    <w:rsid w:val="00335141"/>
    <w:rsid w:val="003352DF"/>
    <w:rsid w:val="00335AD5"/>
    <w:rsid w:val="00335E40"/>
    <w:rsid w:val="00335E61"/>
    <w:rsid w:val="00336171"/>
    <w:rsid w:val="00336BE4"/>
    <w:rsid w:val="003371EF"/>
    <w:rsid w:val="00337732"/>
    <w:rsid w:val="00340AA3"/>
    <w:rsid w:val="003417C2"/>
    <w:rsid w:val="003426F7"/>
    <w:rsid w:val="00342F8E"/>
    <w:rsid w:val="0034321E"/>
    <w:rsid w:val="00343FF0"/>
    <w:rsid w:val="00344149"/>
    <w:rsid w:val="00344408"/>
    <w:rsid w:val="0034456B"/>
    <w:rsid w:val="00344BEF"/>
    <w:rsid w:val="00344F33"/>
    <w:rsid w:val="00345603"/>
    <w:rsid w:val="0034565E"/>
    <w:rsid w:val="00345E37"/>
    <w:rsid w:val="00345FC3"/>
    <w:rsid w:val="003464AD"/>
    <w:rsid w:val="00346A15"/>
    <w:rsid w:val="00346ADA"/>
    <w:rsid w:val="00346AEC"/>
    <w:rsid w:val="00346E70"/>
    <w:rsid w:val="00347F3E"/>
    <w:rsid w:val="0035011B"/>
    <w:rsid w:val="00350802"/>
    <w:rsid w:val="00350A84"/>
    <w:rsid w:val="00350A92"/>
    <w:rsid w:val="00350EB0"/>
    <w:rsid w:val="0035249B"/>
    <w:rsid w:val="00352A8E"/>
    <w:rsid w:val="00352D5A"/>
    <w:rsid w:val="00352E9A"/>
    <w:rsid w:val="00353DBE"/>
    <w:rsid w:val="00353F0F"/>
    <w:rsid w:val="00354303"/>
    <w:rsid w:val="00354455"/>
    <w:rsid w:val="003546B7"/>
    <w:rsid w:val="00355869"/>
    <w:rsid w:val="003559AA"/>
    <w:rsid w:val="00355E19"/>
    <w:rsid w:val="00356472"/>
    <w:rsid w:val="00356E29"/>
    <w:rsid w:val="0035705F"/>
    <w:rsid w:val="003577CC"/>
    <w:rsid w:val="0035786B"/>
    <w:rsid w:val="00360202"/>
    <w:rsid w:val="003607D9"/>
    <w:rsid w:val="003608B9"/>
    <w:rsid w:val="0036094D"/>
    <w:rsid w:val="00360D33"/>
    <w:rsid w:val="00361804"/>
    <w:rsid w:val="003621C3"/>
    <w:rsid w:val="00362816"/>
    <w:rsid w:val="00362B76"/>
    <w:rsid w:val="00363103"/>
    <w:rsid w:val="0036382D"/>
    <w:rsid w:val="00363A39"/>
    <w:rsid w:val="00363D5D"/>
    <w:rsid w:val="00363E10"/>
    <w:rsid w:val="003640D2"/>
    <w:rsid w:val="00364272"/>
    <w:rsid w:val="003642AB"/>
    <w:rsid w:val="00364622"/>
    <w:rsid w:val="00364A97"/>
    <w:rsid w:val="00364B3D"/>
    <w:rsid w:val="00364D58"/>
    <w:rsid w:val="00364D77"/>
    <w:rsid w:val="003657A1"/>
    <w:rsid w:val="00366617"/>
    <w:rsid w:val="003676C1"/>
    <w:rsid w:val="00367700"/>
    <w:rsid w:val="00367EEB"/>
    <w:rsid w:val="00370656"/>
    <w:rsid w:val="00370D63"/>
    <w:rsid w:val="0037163A"/>
    <w:rsid w:val="003717F1"/>
    <w:rsid w:val="00371EF2"/>
    <w:rsid w:val="00372629"/>
    <w:rsid w:val="0037462E"/>
    <w:rsid w:val="003753D5"/>
    <w:rsid w:val="003757C0"/>
    <w:rsid w:val="00375926"/>
    <w:rsid w:val="00375A12"/>
    <w:rsid w:val="00375B67"/>
    <w:rsid w:val="00375DC2"/>
    <w:rsid w:val="00375F46"/>
    <w:rsid w:val="00376C22"/>
    <w:rsid w:val="00377410"/>
    <w:rsid w:val="00380213"/>
    <w:rsid w:val="00380350"/>
    <w:rsid w:val="00380A2E"/>
    <w:rsid w:val="00380B4E"/>
    <w:rsid w:val="00380F88"/>
    <w:rsid w:val="0038116D"/>
    <w:rsid w:val="003814B6"/>
    <w:rsid w:val="003816E4"/>
    <w:rsid w:val="00381F7A"/>
    <w:rsid w:val="003826E1"/>
    <w:rsid w:val="00382C28"/>
    <w:rsid w:val="00382D40"/>
    <w:rsid w:val="00382E2B"/>
    <w:rsid w:val="0038387A"/>
    <w:rsid w:val="00383D5C"/>
    <w:rsid w:val="00383E6C"/>
    <w:rsid w:val="00383FCC"/>
    <w:rsid w:val="0038429C"/>
    <w:rsid w:val="0038478C"/>
    <w:rsid w:val="0038597C"/>
    <w:rsid w:val="00386617"/>
    <w:rsid w:val="00386683"/>
    <w:rsid w:val="003866F7"/>
    <w:rsid w:val="00386DD3"/>
    <w:rsid w:val="00390ACC"/>
    <w:rsid w:val="00390F78"/>
    <w:rsid w:val="0039131E"/>
    <w:rsid w:val="003917D4"/>
    <w:rsid w:val="00391DCD"/>
    <w:rsid w:val="003921A2"/>
    <w:rsid w:val="00392F9E"/>
    <w:rsid w:val="003934EA"/>
    <w:rsid w:val="00393E16"/>
    <w:rsid w:val="00394108"/>
    <w:rsid w:val="003944DB"/>
    <w:rsid w:val="00394AC9"/>
    <w:rsid w:val="00394C5A"/>
    <w:rsid w:val="00395161"/>
    <w:rsid w:val="003951B0"/>
    <w:rsid w:val="003955A7"/>
    <w:rsid w:val="00395D7E"/>
    <w:rsid w:val="0039695B"/>
    <w:rsid w:val="003A0168"/>
    <w:rsid w:val="003A04A6"/>
    <w:rsid w:val="003A08BF"/>
    <w:rsid w:val="003A0EF5"/>
    <w:rsid w:val="003A1533"/>
    <w:rsid w:val="003A1D86"/>
    <w:rsid w:val="003A293E"/>
    <w:rsid w:val="003A2ABF"/>
    <w:rsid w:val="003A2FDB"/>
    <w:rsid w:val="003A3570"/>
    <w:rsid w:val="003A424B"/>
    <w:rsid w:val="003A42F0"/>
    <w:rsid w:val="003A49C7"/>
    <w:rsid w:val="003A49D1"/>
    <w:rsid w:val="003A4AE4"/>
    <w:rsid w:val="003A4FAC"/>
    <w:rsid w:val="003A5380"/>
    <w:rsid w:val="003A54DB"/>
    <w:rsid w:val="003A687D"/>
    <w:rsid w:val="003A6A32"/>
    <w:rsid w:val="003A7571"/>
    <w:rsid w:val="003A7759"/>
    <w:rsid w:val="003A78A3"/>
    <w:rsid w:val="003A78CE"/>
    <w:rsid w:val="003A7A22"/>
    <w:rsid w:val="003A7D61"/>
    <w:rsid w:val="003A7E50"/>
    <w:rsid w:val="003A7F6E"/>
    <w:rsid w:val="003B0017"/>
    <w:rsid w:val="003B02C0"/>
    <w:rsid w:val="003B03EA"/>
    <w:rsid w:val="003B0553"/>
    <w:rsid w:val="003B0F7C"/>
    <w:rsid w:val="003B1469"/>
    <w:rsid w:val="003B1D57"/>
    <w:rsid w:val="003B3214"/>
    <w:rsid w:val="003B36AC"/>
    <w:rsid w:val="003B3A36"/>
    <w:rsid w:val="003B4897"/>
    <w:rsid w:val="003B62D1"/>
    <w:rsid w:val="003B6398"/>
    <w:rsid w:val="003B707E"/>
    <w:rsid w:val="003B7352"/>
    <w:rsid w:val="003B76F0"/>
    <w:rsid w:val="003B7BA2"/>
    <w:rsid w:val="003C0509"/>
    <w:rsid w:val="003C134B"/>
    <w:rsid w:val="003C138B"/>
    <w:rsid w:val="003C1496"/>
    <w:rsid w:val="003C1B6F"/>
    <w:rsid w:val="003C28CE"/>
    <w:rsid w:val="003C33C3"/>
    <w:rsid w:val="003C3A1D"/>
    <w:rsid w:val="003C4E65"/>
    <w:rsid w:val="003C5504"/>
    <w:rsid w:val="003C5BD9"/>
    <w:rsid w:val="003C6B3F"/>
    <w:rsid w:val="003C754C"/>
    <w:rsid w:val="003C7793"/>
    <w:rsid w:val="003C7799"/>
    <w:rsid w:val="003C7C34"/>
    <w:rsid w:val="003C7FC9"/>
    <w:rsid w:val="003D0EE9"/>
    <w:rsid w:val="003D0F37"/>
    <w:rsid w:val="003D198D"/>
    <w:rsid w:val="003D1E79"/>
    <w:rsid w:val="003D1EFA"/>
    <w:rsid w:val="003D1F1E"/>
    <w:rsid w:val="003D1FC5"/>
    <w:rsid w:val="003D1FD1"/>
    <w:rsid w:val="003D1FEF"/>
    <w:rsid w:val="003D2A7A"/>
    <w:rsid w:val="003D33E1"/>
    <w:rsid w:val="003D3B40"/>
    <w:rsid w:val="003D3FA8"/>
    <w:rsid w:val="003D5150"/>
    <w:rsid w:val="003D5373"/>
    <w:rsid w:val="003D542E"/>
    <w:rsid w:val="003D59CD"/>
    <w:rsid w:val="003D5DC2"/>
    <w:rsid w:val="003D5EC9"/>
    <w:rsid w:val="003D6556"/>
    <w:rsid w:val="003D6614"/>
    <w:rsid w:val="003D69B4"/>
    <w:rsid w:val="003D6C77"/>
    <w:rsid w:val="003D71B4"/>
    <w:rsid w:val="003D7336"/>
    <w:rsid w:val="003D79EB"/>
    <w:rsid w:val="003E04F1"/>
    <w:rsid w:val="003E0E2A"/>
    <w:rsid w:val="003E0FDB"/>
    <w:rsid w:val="003E1065"/>
    <w:rsid w:val="003E114A"/>
    <w:rsid w:val="003E16AC"/>
    <w:rsid w:val="003E23D7"/>
    <w:rsid w:val="003E23FE"/>
    <w:rsid w:val="003E2470"/>
    <w:rsid w:val="003E3A6F"/>
    <w:rsid w:val="003E4010"/>
    <w:rsid w:val="003E406F"/>
    <w:rsid w:val="003E444E"/>
    <w:rsid w:val="003E464F"/>
    <w:rsid w:val="003E5003"/>
    <w:rsid w:val="003E54E3"/>
    <w:rsid w:val="003E5A09"/>
    <w:rsid w:val="003E71BD"/>
    <w:rsid w:val="003E76EF"/>
    <w:rsid w:val="003E76FD"/>
    <w:rsid w:val="003E7C3E"/>
    <w:rsid w:val="003F02DC"/>
    <w:rsid w:val="003F0423"/>
    <w:rsid w:val="003F0ACD"/>
    <w:rsid w:val="003F0E67"/>
    <w:rsid w:val="003F1602"/>
    <w:rsid w:val="003F1C3A"/>
    <w:rsid w:val="003F1D8E"/>
    <w:rsid w:val="003F1E98"/>
    <w:rsid w:val="003F326D"/>
    <w:rsid w:val="003F32D0"/>
    <w:rsid w:val="003F32FB"/>
    <w:rsid w:val="003F34CA"/>
    <w:rsid w:val="003F3A77"/>
    <w:rsid w:val="003F3B0C"/>
    <w:rsid w:val="003F4892"/>
    <w:rsid w:val="003F4DE4"/>
    <w:rsid w:val="003F502A"/>
    <w:rsid w:val="003F57E6"/>
    <w:rsid w:val="003F613D"/>
    <w:rsid w:val="003F63E1"/>
    <w:rsid w:val="003F684F"/>
    <w:rsid w:val="003F70D2"/>
    <w:rsid w:val="003F7A3D"/>
    <w:rsid w:val="004001B6"/>
    <w:rsid w:val="0040058C"/>
    <w:rsid w:val="004006FC"/>
    <w:rsid w:val="0040073C"/>
    <w:rsid w:val="004008B9"/>
    <w:rsid w:val="004015B7"/>
    <w:rsid w:val="00403274"/>
    <w:rsid w:val="0040386F"/>
    <w:rsid w:val="004039BE"/>
    <w:rsid w:val="00404110"/>
    <w:rsid w:val="00405C07"/>
    <w:rsid w:val="00405DC8"/>
    <w:rsid w:val="004064CD"/>
    <w:rsid w:val="0040671B"/>
    <w:rsid w:val="00406FC5"/>
    <w:rsid w:val="00407304"/>
    <w:rsid w:val="004106C4"/>
    <w:rsid w:val="004106F9"/>
    <w:rsid w:val="00410792"/>
    <w:rsid w:val="00411A1D"/>
    <w:rsid w:val="00411DF2"/>
    <w:rsid w:val="00411EDD"/>
    <w:rsid w:val="004125DF"/>
    <w:rsid w:val="004126F6"/>
    <w:rsid w:val="004128C5"/>
    <w:rsid w:val="004130EE"/>
    <w:rsid w:val="00413243"/>
    <w:rsid w:val="00414053"/>
    <w:rsid w:val="00414653"/>
    <w:rsid w:val="00414698"/>
    <w:rsid w:val="00414EC2"/>
    <w:rsid w:val="00415649"/>
    <w:rsid w:val="00415834"/>
    <w:rsid w:val="00415C73"/>
    <w:rsid w:val="00415CAF"/>
    <w:rsid w:val="0041616F"/>
    <w:rsid w:val="00416213"/>
    <w:rsid w:val="00416940"/>
    <w:rsid w:val="00416DB1"/>
    <w:rsid w:val="004173A9"/>
    <w:rsid w:val="004178B3"/>
    <w:rsid w:val="0042016E"/>
    <w:rsid w:val="00420BCC"/>
    <w:rsid w:val="004211AE"/>
    <w:rsid w:val="00421699"/>
    <w:rsid w:val="00421D6C"/>
    <w:rsid w:val="00421DE0"/>
    <w:rsid w:val="00421FBE"/>
    <w:rsid w:val="00422160"/>
    <w:rsid w:val="004223DE"/>
    <w:rsid w:val="00422450"/>
    <w:rsid w:val="0042252F"/>
    <w:rsid w:val="00424940"/>
    <w:rsid w:val="00425189"/>
    <w:rsid w:val="0042565E"/>
    <w:rsid w:val="00426951"/>
    <w:rsid w:val="004269DD"/>
    <w:rsid w:val="004271C5"/>
    <w:rsid w:val="004274BD"/>
    <w:rsid w:val="004278B9"/>
    <w:rsid w:val="00427A6C"/>
    <w:rsid w:val="004302D1"/>
    <w:rsid w:val="004307FD"/>
    <w:rsid w:val="0043109E"/>
    <w:rsid w:val="00431E9B"/>
    <w:rsid w:val="0043283D"/>
    <w:rsid w:val="00432C05"/>
    <w:rsid w:val="004331BF"/>
    <w:rsid w:val="00433A09"/>
    <w:rsid w:val="004345D6"/>
    <w:rsid w:val="00434AD1"/>
    <w:rsid w:val="0043663B"/>
    <w:rsid w:val="00436849"/>
    <w:rsid w:val="0043739E"/>
    <w:rsid w:val="004373BC"/>
    <w:rsid w:val="0044000D"/>
    <w:rsid w:val="00440327"/>
    <w:rsid w:val="00440379"/>
    <w:rsid w:val="00440847"/>
    <w:rsid w:val="00440EC3"/>
    <w:rsid w:val="00441393"/>
    <w:rsid w:val="0044208E"/>
    <w:rsid w:val="004425D9"/>
    <w:rsid w:val="0044262F"/>
    <w:rsid w:val="00442C3F"/>
    <w:rsid w:val="004441F8"/>
    <w:rsid w:val="004444CE"/>
    <w:rsid w:val="004448E3"/>
    <w:rsid w:val="0044571B"/>
    <w:rsid w:val="004471E7"/>
    <w:rsid w:val="00447B8B"/>
    <w:rsid w:val="00447CF0"/>
    <w:rsid w:val="00447F7C"/>
    <w:rsid w:val="004509D1"/>
    <w:rsid w:val="00450F69"/>
    <w:rsid w:val="004511CC"/>
    <w:rsid w:val="00451473"/>
    <w:rsid w:val="00451AB3"/>
    <w:rsid w:val="00452A68"/>
    <w:rsid w:val="00452C6C"/>
    <w:rsid w:val="00452D93"/>
    <w:rsid w:val="00454446"/>
    <w:rsid w:val="00454CA7"/>
    <w:rsid w:val="00455822"/>
    <w:rsid w:val="00455AC4"/>
    <w:rsid w:val="00456960"/>
    <w:rsid w:val="00456C77"/>
    <w:rsid w:val="00456D4F"/>
    <w:rsid w:val="00456DE1"/>
    <w:rsid w:val="00456E50"/>
    <w:rsid w:val="00456F10"/>
    <w:rsid w:val="004571D2"/>
    <w:rsid w:val="00457544"/>
    <w:rsid w:val="00457B42"/>
    <w:rsid w:val="00457BC9"/>
    <w:rsid w:val="00460BAD"/>
    <w:rsid w:val="00460C1D"/>
    <w:rsid w:val="00460D62"/>
    <w:rsid w:val="0046100B"/>
    <w:rsid w:val="00461B46"/>
    <w:rsid w:val="00461DDC"/>
    <w:rsid w:val="00461FEF"/>
    <w:rsid w:val="00462095"/>
    <w:rsid w:val="00462241"/>
    <w:rsid w:val="00462B2E"/>
    <w:rsid w:val="00462D8A"/>
    <w:rsid w:val="00463B48"/>
    <w:rsid w:val="00463B65"/>
    <w:rsid w:val="00463E81"/>
    <w:rsid w:val="00464366"/>
    <w:rsid w:val="0046464D"/>
    <w:rsid w:val="004652CA"/>
    <w:rsid w:val="004652F2"/>
    <w:rsid w:val="004664E8"/>
    <w:rsid w:val="0046679D"/>
    <w:rsid w:val="00466E71"/>
    <w:rsid w:val="00466FD3"/>
    <w:rsid w:val="004670E4"/>
    <w:rsid w:val="0046725F"/>
    <w:rsid w:val="004675CF"/>
    <w:rsid w:val="0046777D"/>
    <w:rsid w:val="00467F5C"/>
    <w:rsid w:val="00470AD3"/>
    <w:rsid w:val="00470B54"/>
    <w:rsid w:val="00470D99"/>
    <w:rsid w:val="00470DE0"/>
    <w:rsid w:val="004714B3"/>
    <w:rsid w:val="00471900"/>
    <w:rsid w:val="00472070"/>
    <w:rsid w:val="00472236"/>
    <w:rsid w:val="00474746"/>
    <w:rsid w:val="00474B9C"/>
    <w:rsid w:val="0047572F"/>
    <w:rsid w:val="0047627D"/>
    <w:rsid w:val="004764F5"/>
    <w:rsid w:val="00476942"/>
    <w:rsid w:val="0047695E"/>
    <w:rsid w:val="00477A94"/>
    <w:rsid w:val="00477AFA"/>
    <w:rsid w:val="00477D62"/>
    <w:rsid w:val="004800B5"/>
    <w:rsid w:val="0048066D"/>
    <w:rsid w:val="0048126C"/>
    <w:rsid w:val="00481B1D"/>
    <w:rsid w:val="00481C27"/>
    <w:rsid w:val="004820D1"/>
    <w:rsid w:val="00482E21"/>
    <w:rsid w:val="00483628"/>
    <w:rsid w:val="004845A6"/>
    <w:rsid w:val="00484647"/>
    <w:rsid w:val="00484B7A"/>
    <w:rsid w:val="00485377"/>
    <w:rsid w:val="0048563B"/>
    <w:rsid w:val="00486412"/>
    <w:rsid w:val="00486A52"/>
    <w:rsid w:val="00486FA9"/>
    <w:rsid w:val="004871A2"/>
    <w:rsid w:val="004901D7"/>
    <w:rsid w:val="00490213"/>
    <w:rsid w:val="004908B8"/>
    <w:rsid w:val="004912FD"/>
    <w:rsid w:val="00492025"/>
    <w:rsid w:val="0049271D"/>
    <w:rsid w:val="0049287A"/>
    <w:rsid w:val="00492A8D"/>
    <w:rsid w:val="004938F3"/>
    <w:rsid w:val="00493B3C"/>
    <w:rsid w:val="00493E9C"/>
    <w:rsid w:val="004944C8"/>
    <w:rsid w:val="004945CE"/>
    <w:rsid w:val="004946AC"/>
    <w:rsid w:val="00494D3B"/>
    <w:rsid w:val="00495DDA"/>
    <w:rsid w:val="004968A7"/>
    <w:rsid w:val="00496BE2"/>
    <w:rsid w:val="00496E32"/>
    <w:rsid w:val="004970B8"/>
    <w:rsid w:val="004975F9"/>
    <w:rsid w:val="0049794D"/>
    <w:rsid w:val="004A02FE"/>
    <w:rsid w:val="004A0310"/>
    <w:rsid w:val="004A08E8"/>
    <w:rsid w:val="004A0EBF"/>
    <w:rsid w:val="004A12C0"/>
    <w:rsid w:val="004A1CE5"/>
    <w:rsid w:val="004A2C43"/>
    <w:rsid w:val="004A3024"/>
    <w:rsid w:val="004A3751"/>
    <w:rsid w:val="004A3C7D"/>
    <w:rsid w:val="004A3C94"/>
    <w:rsid w:val="004A4027"/>
    <w:rsid w:val="004A4E05"/>
    <w:rsid w:val="004A4EC4"/>
    <w:rsid w:val="004A5574"/>
    <w:rsid w:val="004A55BB"/>
    <w:rsid w:val="004A5E97"/>
    <w:rsid w:val="004A66B5"/>
    <w:rsid w:val="004A6781"/>
    <w:rsid w:val="004A6D3C"/>
    <w:rsid w:val="004A74D3"/>
    <w:rsid w:val="004A7661"/>
    <w:rsid w:val="004B0172"/>
    <w:rsid w:val="004B04DA"/>
    <w:rsid w:val="004B09F1"/>
    <w:rsid w:val="004B0D28"/>
    <w:rsid w:val="004B163E"/>
    <w:rsid w:val="004B274C"/>
    <w:rsid w:val="004B311C"/>
    <w:rsid w:val="004B3B70"/>
    <w:rsid w:val="004B3DB0"/>
    <w:rsid w:val="004B3F93"/>
    <w:rsid w:val="004B43AA"/>
    <w:rsid w:val="004B5FBC"/>
    <w:rsid w:val="004B64C5"/>
    <w:rsid w:val="004B65D9"/>
    <w:rsid w:val="004B6666"/>
    <w:rsid w:val="004B6677"/>
    <w:rsid w:val="004B6848"/>
    <w:rsid w:val="004B68CE"/>
    <w:rsid w:val="004B6DC9"/>
    <w:rsid w:val="004B744B"/>
    <w:rsid w:val="004B748D"/>
    <w:rsid w:val="004B7810"/>
    <w:rsid w:val="004C05F9"/>
    <w:rsid w:val="004C0A64"/>
    <w:rsid w:val="004C0C7E"/>
    <w:rsid w:val="004C0E4B"/>
    <w:rsid w:val="004C12B6"/>
    <w:rsid w:val="004C1DB1"/>
    <w:rsid w:val="004C1E2A"/>
    <w:rsid w:val="004C2267"/>
    <w:rsid w:val="004C2714"/>
    <w:rsid w:val="004C2C81"/>
    <w:rsid w:val="004C3C9E"/>
    <w:rsid w:val="004C4619"/>
    <w:rsid w:val="004C4FC1"/>
    <w:rsid w:val="004C4FC8"/>
    <w:rsid w:val="004C6C7B"/>
    <w:rsid w:val="004C74AA"/>
    <w:rsid w:val="004C7B87"/>
    <w:rsid w:val="004D0057"/>
    <w:rsid w:val="004D1185"/>
    <w:rsid w:val="004D1329"/>
    <w:rsid w:val="004D177D"/>
    <w:rsid w:val="004D1E20"/>
    <w:rsid w:val="004D1E5C"/>
    <w:rsid w:val="004D263D"/>
    <w:rsid w:val="004D337B"/>
    <w:rsid w:val="004D4109"/>
    <w:rsid w:val="004D4A2D"/>
    <w:rsid w:val="004D5FC5"/>
    <w:rsid w:val="004D67FA"/>
    <w:rsid w:val="004D6C87"/>
    <w:rsid w:val="004D6D5F"/>
    <w:rsid w:val="004D6FB2"/>
    <w:rsid w:val="004D7B8B"/>
    <w:rsid w:val="004E0BBB"/>
    <w:rsid w:val="004E139D"/>
    <w:rsid w:val="004E1531"/>
    <w:rsid w:val="004E1ACB"/>
    <w:rsid w:val="004E1D57"/>
    <w:rsid w:val="004E2230"/>
    <w:rsid w:val="004E261F"/>
    <w:rsid w:val="004E2F16"/>
    <w:rsid w:val="004E3914"/>
    <w:rsid w:val="004E3A50"/>
    <w:rsid w:val="004E5597"/>
    <w:rsid w:val="004E612C"/>
    <w:rsid w:val="004E6272"/>
    <w:rsid w:val="004E710F"/>
    <w:rsid w:val="004E71CA"/>
    <w:rsid w:val="004E77CB"/>
    <w:rsid w:val="004E7FEB"/>
    <w:rsid w:val="004F0759"/>
    <w:rsid w:val="004F087A"/>
    <w:rsid w:val="004F16A6"/>
    <w:rsid w:val="004F1AAC"/>
    <w:rsid w:val="004F26FF"/>
    <w:rsid w:val="004F2AA4"/>
    <w:rsid w:val="004F2B81"/>
    <w:rsid w:val="004F3334"/>
    <w:rsid w:val="004F3BC5"/>
    <w:rsid w:val="004F3F64"/>
    <w:rsid w:val="004F4925"/>
    <w:rsid w:val="004F4AAE"/>
    <w:rsid w:val="004F5380"/>
    <w:rsid w:val="004F5930"/>
    <w:rsid w:val="004F6196"/>
    <w:rsid w:val="004F64C0"/>
    <w:rsid w:val="004F669D"/>
    <w:rsid w:val="004F7179"/>
    <w:rsid w:val="004F748E"/>
    <w:rsid w:val="004F7498"/>
    <w:rsid w:val="004F7839"/>
    <w:rsid w:val="004F7C98"/>
    <w:rsid w:val="005009A5"/>
    <w:rsid w:val="005017DD"/>
    <w:rsid w:val="00501CE3"/>
    <w:rsid w:val="00503044"/>
    <w:rsid w:val="0050316A"/>
    <w:rsid w:val="005039A7"/>
    <w:rsid w:val="00504836"/>
    <w:rsid w:val="005051B1"/>
    <w:rsid w:val="00505537"/>
    <w:rsid w:val="00505850"/>
    <w:rsid w:val="005058E9"/>
    <w:rsid w:val="00505CA7"/>
    <w:rsid w:val="00505E9F"/>
    <w:rsid w:val="00506063"/>
    <w:rsid w:val="00506A67"/>
    <w:rsid w:val="00506A7D"/>
    <w:rsid w:val="005104A3"/>
    <w:rsid w:val="005105F4"/>
    <w:rsid w:val="00511352"/>
    <w:rsid w:val="005115B9"/>
    <w:rsid w:val="00511D83"/>
    <w:rsid w:val="00513996"/>
    <w:rsid w:val="00514434"/>
    <w:rsid w:val="00514705"/>
    <w:rsid w:val="005150D0"/>
    <w:rsid w:val="0051544B"/>
    <w:rsid w:val="00515478"/>
    <w:rsid w:val="00515BBE"/>
    <w:rsid w:val="00516EAC"/>
    <w:rsid w:val="005170D4"/>
    <w:rsid w:val="00517791"/>
    <w:rsid w:val="0052042B"/>
    <w:rsid w:val="005207C8"/>
    <w:rsid w:val="00520FA3"/>
    <w:rsid w:val="005212B7"/>
    <w:rsid w:val="0052162F"/>
    <w:rsid w:val="00521F8D"/>
    <w:rsid w:val="005222AF"/>
    <w:rsid w:val="0052297D"/>
    <w:rsid w:val="00522B44"/>
    <w:rsid w:val="00522EF9"/>
    <w:rsid w:val="00523666"/>
    <w:rsid w:val="00523A28"/>
    <w:rsid w:val="00523C96"/>
    <w:rsid w:val="005241F6"/>
    <w:rsid w:val="005242C5"/>
    <w:rsid w:val="005243BD"/>
    <w:rsid w:val="00524405"/>
    <w:rsid w:val="005248A0"/>
    <w:rsid w:val="00524DFC"/>
    <w:rsid w:val="00524EB6"/>
    <w:rsid w:val="00524F06"/>
    <w:rsid w:val="005253ED"/>
    <w:rsid w:val="005254C4"/>
    <w:rsid w:val="00525922"/>
    <w:rsid w:val="00526234"/>
    <w:rsid w:val="00526540"/>
    <w:rsid w:val="0052656A"/>
    <w:rsid w:val="00526DE7"/>
    <w:rsid w:val="00526E18"/>
    <w:rsid w:val="00526F6C"/>
    <w:rsid w:val="005300B9"/>
    <w:rsid w:val="005303FA"/>
    <w:rsid w:val="00530553"/>
    <w:rsid w:val="00530F37"/>
    <w:rsid w:val="00531FEB"/>
    <w:rsid w:val="00533097"/>
    <w:rsid w:val="005341A2"/>
    <w:rsid w:val="00534F34"/>
    <w:rsid w:val="005357C2"/>
    <w:rsid w:val="00535FC6"/>
    <w:rsid w:val="0053643A"/>
    <w:rsid w:val="0053692E"/>
    <w:rsid w:val="00536C1B"/>
    <w:rsid w:val="00537496"/>
    <w:rsid w:val="005376D1"/>
    <w:rsid w:val="005378A6"/>
    <w:rsid w:val="00537EA3"/>
    <w:rsid w:val="005403B7"/>
    <w:rsid w:val="0054074E"/>
    <w:rsid w:val="00540C2E"/>
    <w:rsid w:val="00540D36"/>
    <w:rsid w:val="00541296"/>
    <w:rsid w:val="00541ED1"/>
    <w:rsid w:val="00543A01"/>
    <w:rsid w:val="00544DCA"/>
    <w:rsid w:val="0054502D"/>
    <w:rsid w:val="00545203"/>
    <w:rsid w:val="00545660"/>
    <w:rsid w:val="005458E7"/>
    <w:rsid w:val="00545920"/>
    <w:rsid w:val="00547508"/>
    <w:rsid w:val="00547837"/>
    <w:rsid w:val="00547D53"/>
    <w:rsid w:val="005506B7"/>
    <w:rsid w:val="00550730"/>
    <w:rsid w:val="005507F3"/>
    <w:rsid w:val="00551C36"/>
    <w:rsid w:val="00551C89"/>
    <w:rsid w:val="00551F95"/>
    <w:rsid w:val="00552324"/>
    <w:rsid w:val="005534D6"/>
    <w:rsid w:val="00553815"/>
    <w:rsid w:val="00553F36"/>
    <w:rsid w:val="00553FE0"/>
    <w:rsid w:val="00554249"/>
    <w:rsid w:val="0055472C"/>
    <w:rsid w:val="00555311"/>
    <w:rsid w:val="00555553"/>
    <w:rsid w:val="005558C6"/>
    <w:rsid w:val="00555AB7"/>
    <w:rsid w:val="00556115"/>
    <w:rsid w:val="0055689C"/>
    <w:rsid w:val="00557434"/>
    <w:rsid w:val="0055748A"/>
    <w:rsid w:val="005616B5"/>
    <w:rsid w:val="00561854"/>
    <w:rsid w:val="00561947"/>
    <w:rsid w:val="00561BC1"/>
    <w:rsid w:val="00561C17"/>
    <w:rsid w:val="00561CA7"/>
    <w:rsid w:val="00562050"/>
    <w:rsid w:val="0056279B"/>
    <w:rsid w:val="00562DEF"/>
    <w:rsid w:val="0056368C"/>
    <w:rsid w:val="00563A73"/>
    <w:rsid w:val="00563D55"/>
    <w:rsid w:val="00564B9A"/>
    <w:rsid w:val="00564BFD"/>
    <w:rsid w:val="00565CF6"/>
    <w:rsid w:val="00566C26"/>
    <w:rsid w:val="00567337"/>
    <w:rsid w:val="005678E0"/>
    <w:rsid w:val="00567FDC"/>
    <w:rsid w:val="005705B3"/>
    <w:rsid w:val="00570885"/>
    <w:rsid w:val="00571015"/>
    <w:rsid w:val="0057107F"/>
    <w:rsid w:val="00571E2D"/>
    <w:rsid w:val="00572363"/>
    <w:rsid w:val="005727E2"/>
    <w:rsid w:val="00572CD7"/>
    <w:rsid w:val="00572E5B"/>
    <w:rsid w:val="005734DA"/>
    <w:rsid w:val="005739B0"/>
    <w:rsid w:val="00573C67"/>
    <w:rsid w:val="00574ADC"/>
    <w:rsid w:val="00575830"/>
    <w:rsid w:val="00575A21"/>
    <w:rsid w:val="00576566"/>
    <w:rsid w:val="00576AF8"/>
    <w:rsid w:val="00577CF2"/>
    <w:rsid w:val="005805D2"/>
    <w:rsid w:val="0058067A"/>
    <w:rsid w:val="005808A8"/>
    <w:rsid w:val="00581239"/>
    <w:rsid w:val="0058218C"/>
    <w:rsid w:val="0058243D"/>
    <w:rsid w:val="00582608"/>
    <w:rsid w:val="00582882"/>
    <w:rsid w:val="0058306F"/>
    <w:rsid w:val="0058343E"/>
    <w:rsid w:val="0058376D"/>
    <w:rsid w:val="00583F9E"/>
    <w:rsid w:val="005840F6"/>
    <w:rsid w:val="0058542B"/>
    <w:rsid w:val="00585A8E"/>
    <w:rsid w:val="00585CE5"/>
    <w:rsid w:val="00586032"/>
    <w:rsid w:val="00586C48"/>
    <w:rsid w:val="00586C66"/>
    <w:rsid w:val="005874EB"/>
    <w:rsid w:val="00587E1A"/>
    <w:rsid w:val="0059021F"/>
    <w:rsid w:val="00590B39"/>
    <w:rsid w:val="0059129E"/>
    <w:rsid w:val="00591654"/>
    <w:rsid w:val="005916BD"/>
    <w:rsid w:val="005917B1"/>
    <w:rsid w:val="00591F23"/>
    <w:rsid w:val="0059242F"/>
    <w:rsid w:val="005928CC"/>
    <w:rsid w:val="00593109"/>
    <w:rsid w:val="005933AD"/>
    <w:rsid w:val="005938C2"/>
    <w:rsid w:val="00593BB3"/>
    <w:rsid w:val="00593EFC"/>
    <w:rsid w:val="005946D8"/>
    <w:rsid w:val="00594B91"/>
    <w:rsid w:val="00595415"/>
    <w:rsid w:val="0059551D"/>
    <w:rsid w:val="005958ED"/>
    <w:rsid w:val="00595BC2"/>
    <w:rsid w:val="00596388"/>
    <w:rsid w:val="00596887"/>
    <w:rsid w:val="00597652"/>
    <w:rsid w:val="005978EA"/>
    <w:rsid w:val="005A0060"/>
    <w:rsid w:val="005A06F7"/>
    <w:rsid w:val="005A0703"/>
    <w:rsid w:val="005A080B"/>
    <w:rsid w:val="005A09E1"/>
    <w:rsid w:val="005A0F57"/>
    <w:rsid w:val="005A12E0"/>
    <w:rsid w:val="005A1595"/>
    <w:rsid w:val="005A1AFA"/>
    <w:rsid w:val="005A2562"/>
    <w:rsid w:val="005A2B13"/>
    <w:rsid w:val="005A37CE"/>
    <w:rsid w:val="005A38E4"/>
    <w:rsid w:val="005A434E"/>
    <w:rsid w:val="005A4BB8"/>
    <w:rsid w:val="005A515E"/>
    <w:rsid w:val="005A5192"/>
    <w:rsid w:val="005A5F74"/>
    <w:rsid w:val="005A6F84"/>
    <w:rsid w:val="005A7532"/>
    <w:rsid w:val="005A7ABA"/>
    <w:rsid w:val="005A7CBB"/>
    <w:rsid w:val="005A7CEB"/>
    <w:rsid w:val="005B0759"/>
    <w:rsid w:val="005B075D"/>
    <w:rsid w:val="005B0AA9"/>
    <w:rsid w:val="005B12A5"/>
    <w:rsid w:val="005B15AE"/>
    <w:rsid w:val="005B18BB"/>
    <w:rsid w:val="005B2940"/>
    <w:rsid w:val="005B3B3B"/>
    <w:rsid w:val="005B47FC"/>
    <w:rsid w:val="005B51AC"/>
    <w:rsid w:val="005B52F3"/>
    <w:rsid w:val="005B590D"/>
    <w:rsid w:val="005B5CC1"/>
    <w:rsid w:val="005B5EAC"/>
    <w:rsid w:val="005B65D2"/>
    <w:rsid w:val="005B6F85"/>
    <w:rsid w:val="005B7A67"/>
    <w:rsid w:val="005B7EFF"/>
    <w:rsid w:val="005C0206"/>
    <w:rsid w:val="005C08C9"/>
    <w:rsid w:val="005C0991"/>
    <w:rsid w:val="005C0CF2"/>
    <w:rsid w:val="005C161A"/>
    <w:rsid w:val="005C1BCB"/>
    <w:rsid w:val="005C1E54"/>
    <w:rsid w:val="005C1EBC"/>
    <w:rsid w:val="005C22D5"/>
    <w:rsid w:val="005C2312"/>
    <w:rsid w:val="005C2336"/>
    <w:rsid w:val="005C319E"/>
    <w:rsid w:val="005C3703"/>
    <w:rsid w:val="005C398C"/>
    <w:rsid w:val="005C3C68"/>
    <w:rsid w:val="005C3DA2"/>
    <w:rsid w:val="005C41F8"/>
    <w:rsid w:val="005C43CB"/>
    <w:rsid w:val="005C46ED"/>
    <w:rsid w:val="005C4735"/>
    <w:rsid w:val="005C496C"/>
    <w:rsid w:val="005C4C8D"/>
    <w:rsid w:val="005C5C63"/>
    <w:rsid w:val="005C636B"/>
    <w:rsid w:val="005C6CA1"/>
    <w:rsid w:val="005C752E"/>
    <w:rsid w:val="005D0199"/>
    <w:rsid w:val="005D0321"/>
    <w:rsid w:val="005D03E9"/>
    <w:rsid w:val="005D137B"/>
    <w:rsid w:val="005D1734"/>
    <w:rsid w:val="005D1BDE"/>
    <w:rsid w:val="005D304B"/>
    <w:rsid w:val="005D329D"/>
    <w:rsid w:val="005D3920"/>
    <w:rsid w:val="005D39CB"/>
    <w:rsid w:val="005D3D6D"/>
    <w:rsid w:val="005D3DBB"/>
    <w:rsid w:val="005D3F3F"/>
    <w:rsid w:val="005D52B7"/>
    <w:rsid w:val="005D5604"/>
    <w:rsid w:val="005D699E"/>
    <w:rsid w:val="005D6A73"/>
    <w:rsid w:val="005D6E5D"/>
    <w:rsid w:val="005D791E"/>
    <w:rsid w:val="005D7A31"/>
    <w:rsid w:val="005D7B09"/>
    <w:rsid w:val="005E01E7"/>
    <w:rsid w:val="005E05EE"/>
    <w:rsid w:val="005E06D7"/>
    <w:rsid w:val="005E08D3"/>
    <w:rsid w:val="005E091A"/>
    <w:rsid w:val="005E0C9A"/>
    <w:rsid w:val="005E0CC9"/>
    <w:rsid w:val="005E1A25"/>
    <w:rsid w:val="005E1DD2"/>
    <w:rsid w:val="005E2209"/>
    <w:rsid w:val="005E3989"/>
    <w:rsid w:val="005E4487"/>
    <w:rsid w:val="005E4659"/>
    <w:rsid w:val="005E4940"/>
    <w:rsid w:val="005E4C8A"/>
    <w:rsid w:val="005E5538"/>
    <w:rsid w:val="005E570C"/>
    <w:rsid w:val="005E5AB7"/>
    <w:rsid w:val="005E657A"/>
    <w:rsid w:val="005E6795"/>
    <w:rsid w:val="005E6F7D"/>
    <w:rsid w:val="005E7063"/>
    <w:rsid w:val="005E7138"/>
    <w:rsid w:val="005E7495"/>
    <w:rsid w:val="005E7AEC"/>
    <w:rsid w:val="005F02CD"/>
    <w:rsid w:val="005F08F9"/>
    <w:rsid w:val="005F0A1F"/>
    <w:rsid w:val="005F0D7A"/>
    <w:rsid w:val="005F1314"/>
    <w:rsid w:val="005F1386"/>
    <w:rsid w:val="005F13D1"/>
    <w:rsid w:val="005F17C2"/>
    <w:rsid w:val="005F1BB8"/>
    <w:rsid w:val="005F20A7"/>
    <w:rsid w:val="005F3362"/>
    <w:rsid w:val="005F3AF4"/>
    <w:rsid w:val="005F3CCF"/>
    <w:rsid w:val="005F3EBE"/>
    <w:rsid w:val="005F409E"/>
    <w:rsid w:val="005F4ACA"/>
    <w:rsid w:val="005F4BA4"/>
    <w:rsid w:val="005F4BB6"/>
    <w:rsid w:val="005F5108"/>
    <w:rsid w:val="005F5AAE"/>
    <w:rsid w:val="005F61AB"/>
    <w:rsid w:val="005F66FC"/>
    <w:rsid w:val="005F7025"/>
    <w:rsid w:val="005F7183"/>
    <w:rsid w:val="005F7C17"/>
    <w:rsid w:val="00600C2B"/>
    <w:rsid w:val="0060131F"/>
    <w:rsid w:val="00601375"/>
    <w:rsid w:val="006014C9"/>
    <w:rsid w:val="00601AF3"/>
    <w:rsid w:val="00601EFE"/>
    <w:rsid w:val="00602598"/>
    <w:rsid w:val="00602F10"/>
    <w:rsid w:val="0060312B"/>
    <w:rsid w:val="006037A4"/>
    <w:rsid w:val="00603C95"/>
    <w:rsid w:val="00603EAE"/>
    <w:rsid w:val="00603EB1"/>
    <w:rsid w:val="00604D6E"/>
    <w:rsid w:val="00605220"/>
    <w:rsid w:val="006060DC"/>
    <w:rsid w:val="006061E7"/>
    <w:rsid w:val="0060626F"/>
    <w:rsid w:val="00606892"/>
    <w:rsid w:val="00606A1F"/>
    <w:rsid w:val="006070B0"/>
    <w:rsid w:val="006072D5"/>
    <w:rsid w:val="00607677"/>
    <w:rsid w:val="00607AA5"/>
    <w:rsid w:val="00610442"/>
    <w:rsid w:val="00610F97"/>
    <w:rsid w:val="00611722"/>
    <w:rsid w:val="00611733"/>
    <w:rsid w:val="00611ABF"/>
    <w:rsid w:val="00611BF0"/>
    <w:rsid w:val="006127AC"/>
    <w:rsid w:val="00612842"/>
    <w:rsid w:val="006131BA"/>
    <w:rsid w:val="006136FD"/>
    <w:rsid w:val="0061417B"/>
    <w:rsid w:val="00614D4C"/>
    <w:rsid w:val="00614F8C"/>
    <w:rsid w:val="006152BD"/>
    <w:rsid w:val="00615798"/>
    <w:rsid w:val="006164E9"/>
    <w:rsid w:val="006165F4"/>
    <w:rsid w:val="006166D8"/>
    <w:rsid w:val="00617ADC"/>
    <w:rsid w:val="00617ED6"/>
    <w:rsid w:val="00620225"/>
    <w:rsid w:val="00620FF9"/>
    <w:rsid w:val="00621426"/>
    <w:rsid w:val="00622568"/>
    <w:rsid w:val="00622C12"/>
    <w:rsid w:val="00622C26"/>
    <w:rsid w:val="00622C5C"/>
    <w:rsid w:val="00622D91"/>
    <w:rsid w:val="0062349E"/>
    <w:rsid w:val="00624387"/>
    <w:rsid w:val="006257C1"/>
    <w:rsid w:val="00625C46"/>
    <w:rsid w:val="00625E3D"/>
    <w:rsid w:val="0062642C"/>
    <w:rsid w:val="00626781"/>
    <w:rsid w:val="006269AA"/>
    <w:rsid w:val="006272E1"/>
    <w:rsid w:val="0062746C"/>
    <w:rsid w:val="00627586"/>
    <w:rsid w:val="006310F5"/>
    <w:rsid w:val="00631823"/>
    <w:rsid w:val="006321CF"/>
    <w:rsid w:val="00632686"/>
    <w:rsid w:val="00632B97"/>
    <w:rsid w:val="00632D86"/>
    <w:rsid w:val="006338E1"/>
    <w:rsid w:val="00633EB9"/>
    <w:rsid w:val="00634A78"/>
    <w:rsid w:val="00634E13"/>
    <w:rsid w:val="0063596B"/>
    <w:rsid w:val="0063649E"/>
    <w:rsid w:val="0063652B"/>
    <w:rsid w:val="006367C5"/>
    <w:rsid w:val="0063691F"/>
    <w:rsid w:val="00636BD8"/>
    <w:rsid w:val="006370B7"/>
    <w:rsid w:val="006373AD"/>
    <w:rsid w:val="0063771A"/>
    <w:rsid w:val="006377F3"/>
    <w:rsid w:val="00637C3D"/>
    <w:rsid w:val="00640220"/>
    <w:rsid w:val="0064033E"/>
    <w:rsid w:val="0064164B"/>
    <w:rsid w:val="00641794"/>
    <w:rsid w:val="00641E2A"/>
    <w:rsid w:val="00642025"/>
    <w:rsid w:val="00642336"/>
    <w:rsid w:val="006423DC"/>
    <w:rsid w:val="006424C5"/>
    <w:rsid w:val="00642D29"/>
    <w:rsid w:val="00642ECC"/>
    <w:rsid w:val="00643131"/>
    <w:rsid w:val="006434C7"/>
    <w:rsid w:val="00643971"/>
    <w:rsid w:val="00643C64"/>
    <w:rsid w:val="00644137"/>
    <w:rsid w:val="0064493D"/>
    <w:rsid w:val="00645274"/>
    <w:rsid w:val="006453DF"/>
    <w:rsid w:val="00645436"/>
    <w:rsid w:val="006457A6"/>
    <w:rsid w:val="00646095"/>
    <w:rsid w:val="00646AFD"/>
    <w:rsid w:val="00646E87"/>
    <w:rsid w:val="00647949"/>
    <w:rsid w:val="006479B9"/>
    <w:rsid w:val="00647A6A"/>
    <w:rsid w:val="00647C13"/>
    <w:rsid w:val="00650362"/>
    <w:rsid w:val="0065107F"/>
    <w:rsid w:val="00651B12"/>
    <w:rsid w:val="00651D8B"/>
    <w:rsid w:val="006530EF"/>
    <w:rsid w:val="00653654"/>
    <w:rsid w:val="00654167"/>
    <w:rsid w:val="006551F9"/>
    <w:rsid w:val="0065531C"/>
    <w:rsid w:val="00656D12"/>
    <w:rsid w:val="00656F0A"/>
    <w:rsid w:val="006578CC"/>
    <w:rsid w:val="0065790A"/>
    <w:rsid w:val="00657FF8"/>
    <w:rsid w:val="006607E5"/>
    <w:rsid w:val="00660EE6"/>
    <w:rsid w:val="00661946"/>
    <w:rsid w:val="00661FCB"/>
    <w:rsid w:val="00662382"/>
    <w:rsid w:val="006625AF"/>
    <w:rsid w:val="00662D7A"/>
    <w:rsid w:val="00663AD4"/>
    <w:rsid w:val="00664BE9"/>
    <w:rsid w:val="00664D43"/>
    <w:rsid w:val="00664E4E"/>
    <w:rsid w:val="00664F4F"/>
    <w:rsid w:val="00665437"/>
    <w:rsid w:val="00665468"/>
    <w:rsid w:val="006655AC"/>
    <w:rsid w:val="006659B8"/>
    <w:rsid w:val="006659C3"/>
    <w:rsid w:val="00666061"/>
    <w:rsid w:val="00666380"/>
    <w:rsid w:val="00666C9B"/>
    <w:rsid w:val="00666D57"/>
    <w:rsid w:val="00667424"/>
    <w:rsid w:val="00667554"/>
    <w:rsid w:val="00667792"/>
    <w:rsid w:val="00670AF8"/>
    <w:rsid w:val="00670E4D"/>
    <w:rsid w:val="00671677"/>
    <w:rsid w:val="00672DE3"/>
    <w:rsid w:val="006730B3"/>
    <w:rsid w:val="00673BE4"/>
    <w:rsid w:val="00673F86"/>
    <w:rsid w:val="006744D8"/>
    <w:rsid w:val="00674A24"/>
    <w:rsid w:val="006750F2"/>
    <w:rsid w:val="006752D6"/>
    <w:rsid w:val="00675919"/>
    <w:rsid w:val="00675928"/>
    <w:rsid w:val="00675955"/>
    <w:rsid w:val="00675CA7"/>
    <w:rsid w:val="00675DB1"/>
    <w:rsid w:val="00675E02"/>
    <w:rsid w:val="00675E07"/>
    <w:rsid w:val="00676134"/>
    <w:rsid w:val="00676149"/>
    <w:rsid w:val="00676663"/>
    <w:rsid w:val="0067690D"/>
    <w:rsid w:val="00676915"/>
    <w:rsid w:val="00676C10"/>
    <w:rsid w:val="006779ED"/>
    <w:rsid w:val="006808AE"/>
    <w:rsid w:val="00680A61"/>
    <w:rsid w:val="00680BC0"/>
    <w:rsid w:val="00680CB9"/>
    <w:rsid w:val="00680F3F"/>
    <w:rsid w:val="006814AD"/>
    <w:rsid w:val="006838E6"/>
    <w:rsid w:val="0068407F"/>
    <w:rsid w:val="006849F3"/>
    <w:rsid w:val="0068553C"/>
    <w:rsid w:val="00685F34"/>
    <w:rsid w:val="006860F9"/>
    <w:rsid w:val="00687828"/>
    <w:rsid w:val="0068786A"/>
    <w:rsid w:val="00690177"/>
    <w:rsid w:val="00690707"/>
    <w:rsid w:val="0069075E"/>
    <w:rsid w:val="006911B1"/>
    <w:rsid w:val="00691797"/>
    <w:rsid w:val="00692CD8"/>
    <w:rsid w:val="00693421"/>
    <w:rsid w:val="00693559"/>
    <w:rsid w:val="00693B1F"/>
    <w:rsid w:val="00693E4C"/>
    <w:rsid w:val="006941BF"/>
    <w:rsid w:val="006942CA"/>
    <w:rsid w:val="00694B9B"/>
    <w:rsid w:val="0069505C"/>
    <w:rsid w:val="00695167"/>
    <w:rsid w:val="00695656"/>
    <w:rsid w:val="006956AD"/>
    <w:rsid w:val="00695B25"/>
    <w:rsid w:val="006961B4"/>
    <w:rsid w:val="006967CD"/>
    <w:rsid w:val="006975A8"/>
    <w:rsid w:val="006A0393"/>
    <w:rsid w:val="006A08B5"/>
    <w:rsid w:val="006A1012"/>
    <w:rsid w:val="006A117F"/>
    <w:rsid w:val="006A1339"/>
    <w:rsid w:val="006A1991"/>
    <w:rsid w:val="006A354B"/>
    <w:rsid w:val="006A479C"/>
    <w:rsid w:val="006A4EE0"/>
    <w:rsid w:val="006A5226"/>
    <w:rsid w:val="006A52C1"/>
    <w:rsid w:val="006A5C64"/>
    <w:rsid w:val="006A6488"/>
    <w:rsid w:val="006A6C0D"/>
    <w:rsid w:val="006A7DF5"/>
    <w:rsid w:val="006B0060"/>
    <w:rsid w:val="006B039B"/>
    <w:rsid w:val="006B0445"/>
    <w:rsid w:val="006B08F6"/>
    <w:rsid w:val="006B09A5"/>
    <w:rsid w:val="006B159D"/>
    <w:rsid w:val="006B197F"/>
    <w:rsid w:val="006B1D1D"/>
    <w:rsid w:val="006B1EFF"/>
    <w:rsid w:val="006B25BC"/>
    <w:rsid w:val="006B385B"/>
    <w:rsid w:val="006B39A3"/>
    <w:rsid w:val="006B4040"/>
    <w:rsid w:val="006B448F"/>
    <w:rsid w:val="006B44E2"/>
    <w:rsid w:val="006B4849"/>
    <w:rsid w:val="006B499D"/>
    <w:rsid w:val="006B54CC"/>
    <w:rsid w:val="006B5626"/>
    <w:rsid w:val="006B5A80"/>
    <w:rsid w:val="006B5CB5"/>
    <w:rsid w:val="006B613E"/>
    <w:rsid w:val="006B6289"/>
    <w:rsid w:val="006B741A"/>
    <w:rsid w:val="006C09A5"/>
    <w:rsid w:val="006C0A2F"/>
    <w:rsid w:val="006C10C8"/>
    <w:rsid w:val="006C1376"/>
    <w:rsid w:val="006C1685"/>
    <w:rsid w:val="006C3EA1"/>
    <w:rsid w:val="006C46C9"/>
    <w:rsid w:val="006C48F9"/>
    <w:rsid w:val="006C5031"/>
    <w:rsid w:val="006C63DA"/>
    <w:rsid w:val="006C6426"/>
    <w:rsid w:val="006C6711"/>
    <w:rsid w:val="006C675B"/>
    <w:rsid w:val="006C685C"/>
    <w:rsid w:val="006C6D6E"/>
    <w:rsid w:val="006D00B1"/>
    <w:rsid w:val="006D0607"/>
    <w:rsid w:val="006D103B"/>
    <w:rsid w:val="006D1684"/>
    <w:rsid w:val="006D1C2E"/>
    <w:rsid w:val="006D36D0"/>
    <w:rsid w:val="006D3AD5"/>
    <w:rsid w:val="006D4788"/>
    <w:rsid w:val="006D4A56"/>
    <w:rsid w:val="006D5E08"/>
    <w:rsid w:val="006D5FF2"/>
    <w:rsid w:val="006D6992"/>
    <w:rsid w:val="006D6CA0"/>
    <w:rsid w:val="006D7DF7"/>
    <w:rsid w:val="006E0201"/>
    <w:rsid w:val="006E0253"/>
    <w:rsid w:val="006E0861"/>
    <w:rsid w:val="006E0DD2"/>
    <w:rsid w:val="006E0E7D"/>
    <w:rsid w:val="006E10BF"/>
    <w:rsid w:val="006E1666"/>
    <w:rsid w:val="006E16BA"/>
    <w:rsid w:val="006E1FC2"/>
    <w:rsid w:val="006E2E4C"/>
    <w:rsid w:val="006E465B"/>
    <w:rsid w:val="006E501F"/>
    <w:rsid w:val="006E5A70"/>
    <w:rsid w:val="006E5BE0"/>
    <w:rsid w:val="006E61AA"/>
    <w:rsid w:val="006E6C57"/>
    <w:rsid w:val="006F0EA0"/>
    <w:rsid w:val="006F1C14"/>
    <w:rsid w:val="006F261F"/>
    <w:rsid w:val="006F2836"/>
    <w:rsid w:val="006F2996"/>
    <w:rsid w:val="006F4092"/>
    <w:rsid w:val="006F40E8"/>
    <w:rsid w:val="006F46DA"/>
    <w:rsid w:val="006F4B80"/>
    <w:rsid w:val="006F51E4"/>
    <w:rsid w:val="006F7477"/>
    <w:rsid w:val="006F7811"/>
    <w:rsid w:val="00700215"/>
    <w:rsid w:val="0070065D"/>
    <w:rsid w:val="00701B84"/>
    <w:rsid w:val="00701C75"/>
    <w:rsid w:val="00702237"/>
    <w:rsid w:val="00702451"/>
    <w:rsid w:val="00702496"/>
    <w:rsid w:val="007038CF"/>
    <w:rsid w:val="00703A6A"/>
    <w:rsid w:val="007041AF"/>
    <w:rsid w:val="007044BD"/>
    <w:rsid w:val="00704772"/>
    <w:rsid w:val="0070487E"/>
    <w:rsid w:val="00704D56"/>
    <w:rsid w:val="00704E58"/>
    <w:rsid w:val="00705BF2"/>
    <w:rsid w:val="00705F5B"/>
    <w:rsid w:val="00705F8A"/>
    <w:rsid w:val="00706A1E"/>
    <w:rsid w:val="0070702A"/>
    <w:rsid w:val="00707110"/>
    <w:rsid w:val="00707229"/>
    <w:rsid w:val="00707445"/>
    <w:rsid w:val="00707762"/>
    <w:rsid w:val="0071015E"/>
    <w:rsid w:val="00711553"/>
    <w:rsid w:val="00711B01"/>
    <w:rsid w:val="00711C87"/>
    <w:rsid w:val="00711DD9"/>
    <w:rsid w:val="00712128"/>
    <w:rsid w:val="007122C1"/>
    <w:rsid w:val="007132E8"/>
    <w:rsid w:val="0071333C"/>
    <w:rsid w:val="007137CC"/>
    <w:rsid w:val="00713B24"/>
    <w:rsid w:val="00713D74"/>
    <w:rsid w:val="00713F4A"/>
    <w:rsid w:val="007152B3"/>
    <w:rsid w:val="00715728"/>
    <w:rsid w:val="007160A2"/>
    <w:rsid w:val="00716212"/>
    <w:rsid w:val="00716839"/>
    <w:rsid w:val="0071707D"/>
    <w:rsid w:val="007170DF"/>
    <w:rsid w:val="007207F5"/>
    <w:rsid w:val="00720A21"/>
    <w:rsid w:val="0072104C"/>
    <w:rsid w:val="007213F4"/>
    <w:rsid w:val="00722236"/>
    <w:rsid w:val="007230FC"/>
    <w:rsid w:val="00723539"/>
    <w:rsid w:val="00723824"/>
    <w:rsid w:val="00723982"/>
    <w:rsid w:val="00724970"/>
    <w:rsid w:val="007256F7"/>
    <w:rsid w:val="00725CCA"/>
    <w:rsid w:val="00727207"/>
    <w:rsid w:val="0072737A"/>
    <w:rsid w:val="00727838"/>
    <w:rsid w:val="00727861"/>
    <w:rsid w:val="00727A82"/>
    <w:rsid w:val="00727FD2"/>
    <w:rsid w:val="0073030A"/>
    <w:rsid w:val="007311E7"/>
    <w:rsid w:val="0073177D"/>
    <w:rsid w:val="00731AD1"/>
    <w:rsid w:val="00731DEE"/>
    <w:rsid w:val="00731FDE"/>
    <w:rsid w:val="0073242D"/>
    <w:rsid w:val="00733256"/>
    <w:rsid w:val="0073415C"/>
    <w:rsid w:val="007344BC"/>
    <w:rsid w:val="00734B95"/>
    <w:rsid w:val="00734BC6"/>
    <w:rsid w:val="00734E70"/>
    <w:rsid w:val="007360BA"/>
    <w:rsid w:val="007365D7"/>
    <w:rsid w:val="00737037"/>
    <w:rsid w:val="00737300"/>
    <w:rsid w:val="00737A15"/>
    <w:rsid w:val="00737DCC"/>
    <w:rsid w:val="0074084C"/>
    <w:rsid w:val="00740BA0"/>
    <w:rsid w:val="00741943"/>
    <w:rsid w:val="00741EED"/>
    <w:rsid w:val="007426C4"/>
    <w:rsid w:val="007435C4"/>
    <w:rsid w:val="0074371A"/>
    <w:rsid w:val="00743A18"/>
    <w:rsid w:val="00743EB8"/>
    <w:rsid w:val="00744EEC"/>
    <w:rsid w:val="00745108"/>
    <w:rsid w:val="00745C55"/>
    <w:rsid w:val="00746175"/>
    <w:rsid w:val="00746444"/>
    <w:rsid w:val="00747D83"/>
    <w:rsid w:val="007501F4"/>
    <w:rsid w:val="007513C8"/>
    <w:rsid w:val="007527A9"/>
    <w:rsid w:val="007530BB"/>
    <w:rsid w:val="0075334D"/>
    <w:rsid w:val="007535AB"/>
    <w:rsid w:val="00753B9C"/>
    <w:rsid w:val="007541D3"/>
    <w:rsid w:val="00754F33"/>
    <w:rsid w:val="007558AF"/>
    <w:rsid w:val="00755915"/>
    <w:rsid w:val="00755B53"/>
    <w:rsid w:val="00755EF1"/>
    <w:rsid w:val="00755F89"/>
    <w:rsid w:val="007565CE"/>
    <w:rsid w:val="007565FE"/>
    <w:rsid w:val="00756DDF"/>
    <w:rsid w:val="0075714D"/>
    <w:rsid w:val="0075738D"/>
    <w:rsid w:val="00757774"/>
    <w:rsid w:val="007577D7"/>
    <w:rsid w:val="00757B5F"/>
    <w:rsid w:val="00760004"/>
    <w:rsid w:val="00760B02"/>
    <w:rsid w:val="0076137C"/>
    <w:rsid w:val="00761B33"/>
    <w:rsid w:val="00761C9A"/>
    <w:rsid w:val="00761F6D"/>
    <w:rsid w:val="0076261A"/>
    <w:rsid w:val="00762AA0"/>
    <w:rsid w:val="00762B1F"/>
    <w:rsid w:val="00763139"/>
    <w:rsid w:val="007638F5"/>
    <w:rsid w:val="00763A7F"/>
    <w:rsid w:val="00764396"/>
    <w:rsid w:val="007646B4"/>
    <w:rsid w:val="00764C6F"/>
    <w:rsid w:val="00765A78"/>
    <w:rsid w:val="00765EB7"/>
    <w:rsid w:val="007663B2"/>
    <w:rsid w:val="007663B9"/>
    <w:rsid w:val="00766D93"/>
    <w:rsid w:val="00766EA2"/>
    <w:rsid w:val="0077021F"/>
    <w:rsid w:val="0077067D"/>
    <w:rsid w:val="00770C85"/>
    <w:rsid w:val="00770F9C"/>
    <w:rsid w:val="007715E8"/>
    <w:rsid w:val="0077192F"/>
    <w:rsid w:val="007724D5"/>
    <w:rsid w:val="007725CE"/>
    <w:rsid w:val="00772A1B"/>
    <w:rsid w:val="007733BC"/>
    <w:rsid w:val="00773622"/>
    <w:rsid w:val="007736AF"/>
    <w:rsid w:val="00773780"/>
    <w:rsid w:val="00773851"/>
    <w:rsid w:val="00773A35"/>
    <w:rsid w:val="00773BA1"/>
    <w:rsid w:val="00774418"/>
    <w:rsid w:val="00774C0C"/>
    <w:rsid w:val="00774DBE"/>
    <w:rsid w:val="00775491"/>
    <w:rsid w:val="00775AF8"/>
    <w:rsid w:val="00776004"/>
    <w:rsid w:val="00776D0C"/>
    <w:rsid w:val="00777038"/>
    <w:rsid w:val="00777956"/>
    <w:rsid w:val="007779ED"/>
    <w:rsid w:val="00780787"/>
    <w:rsid w:val="00780D10"/>
    <w:rsid w:val="007811C4"/>
    <w:rsid w:val="00782192"/>
    <w:rsid w:val="00782390"/>
    <w:rsid w:val="007828EA"/>
    <w:rsid w:val="00782DA1"/>
    <w:rsid w:val="007830BB"/>
    <w:rsid w:val="0078354B"/>
    <w:rsid w:val="007835D7"/>
    <w:rsid w:val="00783D1D"/>
    <w:rsid w:val="00783ED6"/>
    <w:rsid w:val="007846D6"/>
    <w:rsid w:val="0078486B"/>
    <w:rsid w:val="00784C4B"/>
    <w:rsid w:val="00785673"/>
    <w:rsid w:val="00785A39"/>
    <w:rsid w:val="00786005"/>
    <w:rsid w:val="007865A0"/>
    <w:rsid w:val="0078692F"/>
    <w:rsid w:val="00786A00"/>
    <w:rsid w:val="00786A9D"/>
    <w:rsid w:val="00786B10"/>
    <w:rsid w:val="00786BDF"/>
    <w:rsid w:val="0078737A"/>
    <w:rsid w:val="00787428"/>
    <w:rsid w:val="00787D8A"/>
    <w:rsid w:val="00787FEE"/>
    <w:rsid w:val="00790277"/>
    <w:rsid w:val="00790834"/>
    <w:rsid w:val="0079088F"/>
    <w:rsid w:val="00790D69"/>
    <w:rsid w:val="00790E1A"/>
    <w:rsid w:val="00791EBC"/>
    <w:rsid w:val="00792166"/>
    <w:rsid w:val="00792638"/>
    <w:rsid w:val="00792E20"/>
    <w:rsid w:val="00793577"/>
    <w:rsid w:val="00794A51"/>
    <w:rsid w:val="00794C38"/>
    <w:rsid w:val="00795637"/>
    <w:rsid w:val="007963E1"/>
    <w:rsid w:val="00797416"/>
    <w:rsid w:val="007974D5"/>
    <w:rsid w:val="0079756F"/>
    <w:rsid w:val="00797C71"/>
    <w:rsid w:val="00797FD6"/>
    <w:rsid w:val="007A07FC"/>
    <w:rsid w:val="007A1B35"/>
    <w:rsid w:val="007A27CF"/>
    <w:rsid w:val="007A3936"/>
    <w:rsid w:val="007A446A"/>
    <w:rsid w:val="007A47DA"/>
    <w:rsid w:val="007A4F54"/>
    <w:rsid w:val="007A4FEF"/>
    <w:rsid w:val="007A5011"/>
    <w:rsid w:val="007A53A6"/>
    <w:rsid w:val="007A5CE7"/>
    <w:rsid w:val="007A6159"/>
    <w:rsid w:val="007A7046"/>
    <w:rsid w:val="007A7093"/>
    <w:rsid w:val="007A74E6"/>
    <w:rsid w:val="007B0358"/>
    <w:rsid w:val="007B0B5B"/>
    <w:rsid w:val="007B1238"/>
    <w:rsid w:val="007B165F"/>
    <w:rsid w:val="007B180F"/>
    <w:rsid w:val="007B20D7"/>
    <w:rsid w:val="007B241C"/>
    <w:rsid w:val="007B27E9"/>
    <w:rsid w:val="007B2C53"/>
    <w:rsid w:val="007B2C5B"/>
    <w:rsid w:val="007B2D11"/>
    <w:rsid w:val="007B2D22"/>
    <w:rsid w:val="007B2D63"/>
    <w:rsid w:val="007B47C2"/>
    <w:rsid w:val="007B4994"/>
    <w:rsid w:val="007B4B61"/>
    <w:rsid w:val="007B4F27"/>
    <w:rsid w:val="007B5116"/>
    <w:rsid w:val="007B5520"/>
    <w:rsid w:val="007B5599"/>
    <w:rsid w:val="007B55FA"/>
    <w:rsid w:val="007B6700"/>
    <w:rsid w:val="007B6A93"/>
    <w:rsid w:val="007B7377"/>
    <w:rsid w:val="007B744C"/>
    <w:rsid w:val="007B77AA"/>
    <w:rsid w:val="007B7BEC"/>
    <w:rsid w:val="007B7C39"/>
    <w:rsid w:val="007B7CF6"/>
    <w:rsid w:val="007C0295"/>
    <w:rsid w:val="007C0C4E"/>
    <w:rsid w:val="007C0C78"/>
    <w:rsid w:val="007C0F10"/>
    <w:rsid w:val="007C0FFB"/>
    <w:rsid w:val="007C115A"/>
    <w:rsid w:val="007C2248"/>
    <w:rsid w:val="007C2295"/>
    <w:rsid w:val="007C25BB"/>
    <w:rsid w:val="007C2B68"/>
    <w:rsid w:val="007C2DC3"/>
    <w:rsid w:val="007C3063"/>
    <w:rsid w:val="007C37BE"/>
    <w:rsid w:val="007C3865"/>
    <w:rsid w:val="007C3CE1"/>
    <w:rsid w:val="007C47A9"/>
    <w:rsid w:val="007C4A9F"/>
    <w:rsid w:val="007C5788"/>
    <w:rsid w:val="007C6556"/>
    <w:rsid w:val="007C6B57"/>
    <w:rsid w:val="007D0675"/>
    <w:rsid w:val="007D0C5A"/>
    <w:rsid w:val="007D0C92"/>
    <w:rsid w:val="007D119C"/>
    <w:rsid w:val="007D140E"/>
    <w:rsid w:val="007D1805"/>
    <w:rsid w:val="007D1895"/>
    <w:rsid w:val="007D2107"/>
    <w:rsid w:val="007D215F"/>
    <w:rsid w:val="007D27A5"/>
    <w:rsid w:val="007D2CF8"/>
    <w:rsid w:val="007D2E47"/>
    <w:rsid w:val="007D2EA7"/>
    <w:rsid w:val="007D3A42"/>
    <w:rsid w:val="007D47E7"/>
    <w:rsid w:val="007D4B5E"/>
    <w:rsid w:val="007D4CCC"/>
    <w:rsid w:val="007D4EB7"/>
    <w:rsid w:val="007D5895"/>
    <w:rsid w:val="007D5D32"/>
    <w:rsid w:val="007D6B16"/>
    <w:rsid w:val="007D7342"/>
    <w:rsid w:val="007D7356"/>
    <w:rsid w:val="007D77AB"/>
    <w:rsid w:val="007D7979"/>
    <w:rsid w:val="007D7E43"/>
    <w:rsid w:val="007E0840"/>
    <w:rsid w:val="007E0918"/>
    <w:rsid w:val="007E0D0A"/>
    <w:rsid w:val="007E2080"/>
    <w:rsid w:val="007E28D0"/>
    <w:rsid w:val="007E30DF"/>
    <w:rsid w:val="007E478C"/>
    <w:rsid w:val="007E4EC7"/>
    <w:rsid w:val="007E61EB"/>
    <w:rsid w:val="007E79E1"/>
    <w:rsid w:val="007F0174"/>
    <w:rsid w:val="007F02A6"/>
    <w:rsid w:val="007F092A"/>
    <w:rsid w:val="007F165D"/>
    <w:rsid w:val="007F17A0"/>
    <w:rsid w:val="007F1810"/>
    <w:rsid w:val="007F1D1B"/>
    <w:rsid w:val="007F1E1C"/>
    <w:rsid w:val="007F280E"/>
    <w:rsid w:val="007F2C43"/>
    <w:rsid w:val="007F2F10"/>
    <w:rsid w:val="007F3120"/>
    <w:rsid w:val="007F3154"/>
    <w:rsid w:val="007F317D"/>
    <w:rsid w:val="007F329C"/>
    <w:rsid w:val="007F35AD"/>
    <w:rsid w:val="007F3763"/>
    <w:rsid w:val="007F45A5"/>
    <w:rsid w:val="007F5107"/>
    <w:rsid w:val="007F551B"/>
    <w:rsid w:val="007F5E14"/>
    <w:rsid w:val="007F6529"/>
    <w:rsid w:val="007F66C2"/>
    <w:rsid w:val="007F6D16"/>
    <w:rsid w:val="007F6DAE"/>
    <w:rsid w:val="007F7544"/>
    <w:rsid w:val="0080079B"/>
    <w:rsid w:val="00800995"/>
    <w:rsid w:val="008013C5"/>
    <w:rsid w:val="0080160A"/>
    <w:rsid w:val="00802299"/>
    <w:rsid w:val="008026EF"/>
    <w:rsid w:val="00802F93"/>
    <w:rsid w:val="00803985"/>
    <w:rsid w:val="00803E61"/>
    <w:rsid w:val="00804736"/>
    <w:rsid w:val="0080602A"/>
    <w:rsid w:val="008069C5"/>
    <w:rsid w:val="00806BC0"/>
    <w:rsid w:val="00810348"/>
    <w:rsid w:val="00810B03"/>
    <w:rsid w:val="00810C30"/>
    <w:rsid w:val="00810E7E"/>
    <w:rsid w:val="0081117E"/>
    <w:rsid w:val="00811CFC"/>
    <w:rsid w:val="00812478"/>
    <w:rsid w:val="00812A96"/>
    <w:rsid w:val="008136DF"/>
    <w:rsid w:val="00814DC9"/>
    <w:rsid w:val="00815236"/>
    <w:rsid w:val="00815CB1"/>
    <w:rsid w:val="00816252"/>
    <w:rsid w:val="00816606"/>
    <w:rsid w:val="00816CD3"/>
    <w:rsid w:val="00816F79"/>
    <w:rsid w:val="008172C2"/>
    <w:rsid w:val="008172F8"/>
    <w:rsid w:val="008179A6"/>
    <w:rsid w:val="008205C5"/>
    <w:rsid w:val="0082072F"/>
    <w:rsid w:val="0082077C"/>
    <w:rsid w:val="00820877"/>
    <w:rsid w:val="00820992"/>
    <w:rsid w:val="00820AD7"/>
    <w:rsid w:val="00820C2C"/>
    <w:rsid w:val="00820DD4"/>
    <w:rsid w:val="00820EBE"/>
    <w:rsid w:val="008211C6"/>
    <w:rsid w:val="00821B3C"/>
    <w:rsid w:val="008229B8"/>
    <w:rsid w:val="00822ECF"/>
    <w:rsid w:val="00823247"/>
    <w:rsid w:val="00823647"/>
    <w:rsid w:val="00823CAF"/>
    <w:rsid w:val="00823FFE"/>
    <w:rsid w:val="00823FFF"/>
    <w:rsid w:val="00824A47"/>
    <w:rsid w:val="00824D2E"/>
    <w:rsid w:val="00825F57"/>
    <w:rsid w:val="00826385"/>
    <w:rsid w:val="00826CB6"/>
    <w:rsid w:val="00827301"/>
    <w:rsid w:val="008277F9"/>
    <w:rsid w:val="00830A77"/>
    <w:rsid w:val="008310C9"/>
    <w:rsid w:val="00831AD1"/>
    <w:rsid w:val="00831B48"/>
    <w:rsid w:val="00831EC6"/>
    <w:rsid w:val="00832549"/>
    <w:rsid w:val="008326B2"/>
    <w:rsid w:val="008327A7"/>
    <w:rsid w:val="0083298D"/>
    <w:rsid w:val="0083299B"/>
    <w:rsid w:val="00832A47"/>
    <w:rsid w:val="00832BBB"/>
    <w:rsid w:val="008334EB"/>
    <w:rsid w:val="00833BA0"/>
    <w:rsid w:val="00834150"/>
    <w:rsid w:val="008341DB"/>
    <w:rsid w:val="00834508"/>
    <w:rsid w:val="00834D72"/>
    <w:rsid w:val="00834E58"/>
    <w:rsid w:val="008354C9"/>
    <w:rsid w:val="008356C3"/>
    <w:rsid w:val="008357F2"/>
    <w:rsid w:val="00835DDC"/>
    <w:rsid w:val="00835EA0"/>
    <w:rsid w:val="0083764E"/>
    <w:rsid w:val="00837678"/>
    <w:rsid w:val="00837FF3"/>
    <w:rsid w:val="0084098D"/>
    <w:rsid w:val="00840CB4"/>
    <w:rsid w:val="008416E0"/>
    <w:rsid w:val="00841B62"/>
    <w:rsid w:val="00841E7A"/>
    <w:rsid w:val="00841FDF"/>
    <w:rsid w:val="00842B85"/>
    <w:rsid w:val="00842BA7"/>
    <w:rsid w:val="008435BF"/>
    <w:rsid w:val="00843CED"/>
    <w:rsid w:val="00844000"/>
    <w:rsid w:val="00844130"/>
    <w:rsid w:val="008447A6"/>
    <w:rsid w:val="00844980"/>
    <w:rsid w:val="00844B35"/>
    <w:rsid w:val="00844F4B"/>
    <w:rsid w:val="00845144"/>
    <w:rsid w:val="008458E5"/>
    <w:rsid w:val="00845C91"/>
    <w:rsid w:val="00846831"/>
    <w:rsid w:val="00846A74"/>
    <w:rsid w:val="00846D0C"/>
    <w:rsid w:val="00847A10"/>
    <w:rsid w:val="00847B32"/>
    <w:rsid w:val="008511C6"/>
    <w:rsid w:val="008523BF"/>
    <w:rsid w:val="00852B9B"/>
    <w:rsid w:val="00853027"/>
    <w:rsid w:val="00853908"/>
    <w:rsid w:val="00853A78"/>
    <w:rsid w:val="00853EB9"/>
    <w:rsid w:val="00854BCE"/>
    <w:rsid w:val="00855389"/>
    <w:rsid w:val="00855C4B"/>
    <w:rsid w:val="00855FDB"/>
    <w:rsid w:val="0085635E"/>
    <w:rsid w:val="00856790"/>
    <w:rsid w:val="00856F98"/>
    <w:rsid w:val="00857346"/>
    <w:rsid w:val="00857459"/>
    <w:rsid w:val="00857A42"/>
    <w:rsid w:val="008603E0"/>
    <w:rsid w:val="00860FA6"/>
    <w:rsid w:val="00861677"/>
    <w:rsid w:val="008620DB"/>
    <w:rsid w:val="00862394"/>
    <w:rsid w:val="00862583"/>
    <w:rsid w:val="00862A3F"/>
    <w:rsid w:val="0086381C"/>
    <w:rsid w:val="0086496C"/>
    <w:rsid w:val="00864A0E"/>
    <w:rsid w:val="00864AC7"/>
    <w:rsid w:val="00865532"/>
    <w:rsid w:val="008655B5"/>
    <w:rsid w:val="00866386"/>
    <w:rsid w:val="00867206"/>
    <w:rsid w:val="00867686"/>
    <w:rsid w:val="008678D5"/>
    <w:rsid w:val="00867C8B"/>
    <w:rsid w:val="00867E7E"/>
    <w:rsid w:val="00867EE8"/>
    <w:rsid w:val="00870798"/>
    <w:rsid w:val="008710F6"/>
    <w:rsid w:val="008716BE"/>
    <w:rsid w:val="00871881"/>
    <w:rsid w:val="00871D11"/>
    <w:rsid w:val="00871DFE"/>
    <w:rsid w:val="00871EA7"/>
    <w:rsid w:val="00872EE9"/>
    <w:rsid w:val="008737D3"/>
    <w:rsid w:val="00873D56"/>
    <w:rsid w:val="00873E24"/>
    <w:rsid w:val="00874179"/>
    <w:rsid w:val="008747E0"/>
    <w:rsid w:val="008749DB"/>
    <w:rsid w:val="00875076"/>
    <w:rsid w:val="008754A4"/>
    <w:rsid w:val="00875DD6"/>
    <w:rsid w:val="00876841"/>
    <w:rsid w:val="00876A34"/>
    <w:rsid w:val="00876D0D"/>
    <w:rsid w:val="00876D9A"/>
    <w:rsid w:val="00880E3D"/>
    <w:rsid w:val="00881885"/>
    <w:rsid w:val="008819D5"/>
    <w:rsid w:val="008822EB"/>
    <w:rsid w:val="008826E4"/>
    <w:rsid w:val="00882B3C"/>
    <w:rsid w:val="00882B80"/>
    <w:rsid w:val="00882C3B"/>
    <w:rsid w:val="00883E5F"/>
    <w:rsid w:val="00884712"/>
    <w:rsid w:val="00884919"/>
    <w:rsid w:val="00885176"/>
    <w:rsid w:val="0088558B"/>
    <w:rsid w:val="00885FA9"/>
    <w:rsid w:val="00886C21"/>
    <w:rsid w:val="008877D2"/>
    <w:rsid w:val="0088783D"/>
    <w:rsid w:val="008879F0"/>
    <w:rsid w:val="008903AC"/>
    <w:rsid w:val="00890A55"/>
    <w:rsid w:val="00893476"/>
    <w:rsid w:val="008940AF"/>
    <w:rsid w:val="008955A1"/>
    <w:rsid w:val="00895676"/>
    <w:rsid w:val="00895BA6"/>
    <w:rsid w:val="008963BF"/>
    <w:rsid w:val="008965F5"/>
    <w:rsid w:val="00896652"/>
    <w:rsid w:val="008972C3"/>
    <w:rsid w:val="008A0672"/>
    <w:rsid w:val="008A093F"/>
    <w:rsid w:val="008A106C"/>
    <w:rsid w:val="008A1342"/>
    <w:rsid w:val="008A274A"/>
    <w:rsid w:val="008A28D9"/>
    <w:rsid w:val="008A2C63"/>
    <w:rsid w:val="008A30BA"/>
    <w:rsid w:val="008A31A9"/>
    <w:rsid w:val="008A3823"/>
    <w:rsid w:val="008A3C44"/>
    <w:rsid w:val="008A3F61"/>
    <w:rsid w:val="008A441B"/>
    <w:rsid w:val="008A4909"/>
    <w:rsid w:val="008A5120"/>
    <w:rsid w:val="008A52DC"/>
    <w:rsid w:val="008A5435"/>
    <w:rsid w:val="008B00F6"/>
    <w:rsid w:val="008B0E62"/>
    <w:rsid w:val="008B1454"/>
    <w:rsid w:val="008B1FBB"/>
    <w:rsid w:val="008B20CF"/>
    <w:rsid w:val="008B2A8A"/>
    <w:rsid w:val="008B3822"/>
    <w:rsid w:val="008B3DD0"/>
    <w:rsid w:val="008B3EC1"/>
    <w:rsid w:val="008B456E"/>
    <w:rsid w:val="008B538D"/>
    <w:rsid w:val="008B5482"/>
    <w:rsid w:val="008B62E0"/>
    <w:rsid w:val="008B70C8"/>
    <w:rsid w:val="008B7B27"/>
    <w:rsid w:val="008B7C64"/>
    <w:rsid w:val="008C0826"/>
    <w:rsid w:val="008C0D4B"/>
    <w:rsid w:val="008C1066"/>
    <w:rsid w:val="008C1631"/>
    <w:rsid w:val="008C18AE"/>
    <w:rsid w:val="008C196C"/>
    <w:rsid w:val="008C2A0C"/>
    <w:rsid w:val="008C33B5"/>
    <w:rsid w:val="008C3A72"/>
    <w:rsid w:val="008C3AF6"/>
    <w:rsid w:val="008C3BDE"/>
    <w:rsid w:val="008C4174"/>
    <w:rsid w:val="008C42CE"/>
    <w:rsid w:val="008C46F4"/>
    <w:rsid w:val="008C4A94"/>
    <w:rsid w:val="008C4D23"/>
    <w:rsid w:val="008C4E78"/>
    <w:rsid w:val="008C4FEC"/>
    <w:rsid w:val="008C55BA"/>
    <w:rsid w:val="008C5D98"/>
    <w:rsid w:val="008C6099"/>
    <w:rsid w:val="008C6969"/>
    <w:rsid w:val="008C7020"/>
    <w:rsid w:val="008C7736"/>
    <w:rsid w:val="008D0624"/>
    <w:rsid w:val="008D09A2"/>
    <w:rsid w:val="008D12D3"/>
    <w:rsid w:val="008D13F4"/>
    <w:rsid w:val="008D1A5C"/>
    <w:rsid w:val="008D1AD8"/>
    <w:rsid w:val="008D29C6"/>
    <w:rsid w:val="008D2A75"/>
    <w:rsid w:val="008D2C46"/>
    <w:rsid w:val="008D3FD4"/>
    <w:rsid w:val="008D45D2"/>
    <w:rsid w:val="008D5558"/>
    <w:rsid w:val="008D575A"/>
    <w:rsid w:val="008D5CCD"/>
    <w:rsid w:val="008D5D0C"/>
    <w:rsid w:val="008D62A1"/>
    <w:rsid w:val="008D6595"/>
    <w:rsid w:val="008D6838"/>
    <w:rsid w:val="008D6FF6"/>
    <w:rsid w:val="008E02D9"/>
    <w:rsid w:val="008E05E5"/>
    <w:rsid w:val="008E0A3D"/>
    <w:rsid w:val="008E103F"/>
    <w:rsid w:val="008E1D70"/>
    <w:rsid w:val="008E1F69"/>
    <w:rsid w:val="008E2EDC"/>
    <w:rsid w:val="008E3E5D"/>
    <w:rsid w:val="008E6A56"/>
    <w:rsid w:val="008E6D45"/>
    <w:rsid w:val="008E714B"/>
    <w:rsid w:val="008E73E2"/>
    <w:rsid w:val="008E747C"/>
    <w:rsid w:val="008E76B1"/>
    <w:rsid w:val="008E7F4A"/>
    <w:rsid w:val="008F1461"/>
    <w:rsid w:val="008F34F4"/>
    <w:rsid w:val="008F36AE"/>
    <w:rsid w:val="008F38BB"/>
    <w:rsid w:val="008F3D39"/>
    <w:rsid w:val="008F4F0E"/>
    <w:rsid w:val="008F5013"/>
    <w:rsid w:val="008F5407"/>
    <w:rsid w:val="008F57D8"/>
    <w:rsid w:val="008F5F9C"/>
    <w:rsid w:val="008F6A6E"/>
    <w:rsid w:val="008F7A7E"/>
    <w:rsid w:val="0090064E"/>
    <w:rsid w:val="0090071D"/>
    <w:rsid w:val="00900D1C"/>
    <w:rsid w:val="00901094"/>
    <w:rsid w:val="0090114C"/>
    <w:rsid w:val="009015F0"/>
    <w:rsid w:val="00902115"/>
    <w:rsid w:val="00902834"/>
    <w:rsid w:val="00902DF0"/>
    <w:rsid w:val="0090322B"/>
    <w:rsid w:val="00903579"/>
    <w:rsid w:val="0090390B"/>
    <w:rsid w:val="00903B1D"/>
    <w:rsid w:val="0090407A"/>
    <w:rsid w:val="00904671"/>
    <w:rsid w:val="00905424"/>
    <w:rsid w:val="00905447"/>
    <w:rsid w:val="009055F7"/>
    <w:rsid w:val="00905F3E"/>
    <w:rsid w:val="00905FFC"/>
    <w:rsid w:val="0090670F"/>
    <w:rsid w:val="00907479"/>
    <w:rsid w:val="00907AA6"/>
    <w:rsid w:val="00907B35"/>
    <w:rsid w:val="009100CD"/>
    <w:rsid w:val="00910579"/>
    <w:rsid w:val="009106EA"/>
    <w:rsid w:val="00910F58"/>
    <w:rsid w:val="00910F9F"/>
    <w:rsid w:val="009110DD"/>
    <w:rsid w:val="0091171C"/>
    <w:rsid w:val="009129CB"/>
    <w:rsid w:val="00912C12"/>
    <w:rsid w:val="00912F45"/>
    <w:rsid w:val="00913056"/>
    <w:rsid w:val="00913464"/>
    <w:rsid w:val="00913FF5"/>
    <w:rsid w:val="00914900"/>
    <w:rsid w:val="009149CE"/>
    <w:rsid w:val="00914E26"/>
    <w:rsid w:val="009157BF"/>
    <w:rsid w:val="0091590F"/>
    <w:rsid w:val="00915D45"/>
    <w:rsid w:val="00915FB4"/>
    <w:rsid w:val="00916172"/>
    <w:rsid w:val="00916AD7"/>
    <w:rsid w:val="009177FF"/>
    <w:rsid w:val="00917C39"/>
    <w:rsid w:val="00920FCE"/>
    <w:rsid w:val="00921204"/>
    <w:rsid w:val="009217F2"/>
    <w:rsid w:val="00921899"/>
    <w:rsid w:val="00923681"/>
    <w:rsid w:val="00923B4D"/>
    <w:rsid w:val="00923D1F"/>
    <w:rsid w:val="009240F5"/>
    <w:rsid w:val="009250F7"/>
    <w:rsid w:val="0092540C"/>
    <w:rsid w:val="0092580E"/>
    <w:rsid w:val="00925B39"/>
    <w:rsid w:val="00925D92"/>
    <w:rsid w:val="00925E0F"/>
    <w:rsid w:val="009260C7"/>
    <w:rsid w:val="00926C9A"/>
    <w:rsid w:val="00926DAB"/>
    <w:rsid w:val="00927015"/>
    <w:rsid w:val="009273B0"/>
    <w:rsid w:val="00930BAD"/>
    <w:rsid w:val="009319EC"/>
    <w:rsid w:val="00931A57"/>
    <w:rsid w:val="0093244E"/>
    <w:rsid w:val="0093253C"/>
    <w:rsid w:val="00932551"/>
    <w:rsid w:val="0093258E"/>
    <w:rsid w:val="00932CC3"/>
    <w:rsid w:val="00932EB2"/>
    <w:rsid w:val="00933556"/>
    <w:rsid w:val="00933735"/>
    <w:rsid w:val="00933EE0"/>
    <w:rsid w:val="00933F05"/>
    <w:rsid w:val="00934310"/>
    <w:rsid w:val="0093483E"/>
    <w:rsid w:val="0093492E"/>
    <w:rsid w:val="00935848"/>
    <w:rsid w:val="00936224"/>
    <w:rsid w:val="00936604"/>
    <w:rsid w:val="00936964"/>
    <w:rsid w:val="00936F45"/>
    <w:rsid w:val="00937358"/>
    <w:rsid w:val="00940B8F"/>
    <w:rsid w:val="00940F46"/>
    <w:rsid w:val="009414E6"/>
    <w:rsid w:val="009425A5"/>
    <w:rsid w:val="00942995"/>
    <w:rsid w:val="009433D0"/>
    <w:rsid w:val="009440C2"/>
    <w:rsid w:val="009441E9"/>
    <w:rsid w:val="00944A06"/>
    <w:rsid w:val="0094559E"/>
    <w:rsid w:val="009459DF"/>
    <w:rsid w:val="00945CCD"/>
    <w:rsid w:val="00946201"/>
    <w:rsid w:val="009462F3"/>
    <w:rsid w:val="00946C8B"/>
    <w:rsid w:val="009470BF"/>
    <w:rsid w:val="009476BB"/>
    <w:rsid w:val="00947775"/>
    <w:rsid w:val="00947A3F"/>
    <w:rsid w:val="00947DB2"/>
    <w:rsid w:val="0095064D"/>
    <w:rsid w:val="00950718"/>
    <w:rsid w:val="00950A3F"/>
    <w:rsid w:val="00950AED"/>
    <w:rsid w:val="00950B15"/>
    <w:rsid w:val="00950E26"/>
    <w:rsid w:val="00950FBA"/>
    <w:rsid w:val="00951CE8"/>
    <w:rsid w:val="0095202B"/>
    <w:rsid w:val="00952167"/>
    <w:rsid w:val="00952966"/>
    <w:rsid w:val="00952E76"/>
    <w:rsid w:val="00953076"/>
    <w:rsid w:val="00953FE9"/>
    <w:rsid w:val="0095450F"/>
    <w:rsid w:val="009546F2"/>
    <w:rsid w:val="0095483E"/>
    <w:rsid w:val="00954EE1"/>
    <w:rsid w:val="00954F66"/>
    <w:rsid w:val="009552A0"/>
    <w:rsid w:val="009559DB"/>
    <w:rsid w:val="00955BC2"/>
    <w:rsid w:val="00956089"/>
    <w:rsid w:val="009561D3"/>
    <w:rsid w:val="00956901"/>
    <w:rsid w:val="00956EF2"/>
    <w:rsid w:val="009572FF"/>
    <w:rsid w:val="00957CA6"/>
    <w:rsid w:val="00960525"/>
    <w:rsid w:val="009605BE"/>
    <w:rsid w:val="0096064C"/>
    <w:rsid w:val="00960DA6"/>
    <w:rsid w:val="00961140"/>
    <w:rsid w:val="00961788"/>
    <w:rsid w:val="0096203C"/>
    <w:rsid w:val="00962554"/>
    <w:rsid w:val="00962B43"/>
    <w:rsid w:val="00962EC1"/>
    <w:rsid w:val="009630F5"/>
    <w:rsid w:val="009637A6"/>
    <w:rsid w:val="00963FAE"/>
    <w:rsid w:val="0096460F"/>
    <w:rsid w:val="009647CB"/>
    <w:rsid w:val="00965164"/>
    <w:rsid w:val="009656B9"/>
    <w:rsid w:val="0096631C"/>
    <w:rsid w:val="009663DB"/>
    <w:rsid w:val="009666F3"/>
    <w:rsid w:val="00966729"/>
    <w:rsid w:val="00966857"/>
    <w:rsid w:val="00966A1C"/>
    <w:rsid w:val="00966D6A"/>
    <w:rsid w:val="00967A36"/>
    <w:rsid w:val="00967B3E"/>
    <w:rsid w:val="00967DD9"/>
    <w:rsid w:val="0097022D"/>
    <w:rsid w:val="00970868"/>
    <w:rsid w:val="00971591"/>
    <w:rsid w:val="00971AB7"/>
    <w:rsid w:val="00971CD5"/>
    <w:rsid w:val="00972067"/>
    <w:rsid w:val="009727CB"/>
    <w:rsid w:val="00972806"/>
    <w:rsid w:val="00972B5F"/>
    <w:rsid w:val="00972C0C"/>
    <w:rsid w:val="00973AEE"/>
    <w:rsid w:val="00974564"/>
    <w:rsid w:val="00974B53"/>
    <w:rsid w:val="00974D36"/>
    <w:rsid w:val="00974E99"/>
    <w:rsid w:val="00975771"/>
    <w:rsid w:val="009761F4"/>
    <w:rsid w:val="009764FA"/>
    <w:rsid w:val="00976D9A"/>
    <w:rsid w:val="00977743"/>
    <w:rsid w:val="009778E9"/>
    <w:rsid w:val="0097790B"/>
    <w:rsid w:val="00977B2B"/>
    <w:rsid w:val="00977EE9"/>
    <w:rsid w:val="00980168"/>
    <w:rsid w:val="00980192"/>
    <w:rsid w:val="0098063E"/>
    <w:rsid w:val="00980799"/>
    <w:rsid w:val="009812B5"/>
    <w:rsid w:val="00982588"/>
    <w:rsid w:val="00982A22"/>
    <w:rsid w:val="00982A38"/>
    <w:rsid w:val="009830CC"/>
    <w:rsid w:val="009830D9"/>
    <w:rsid w:val="00983287"/>
    <w:rsid w:val="00983BC5"/>
    <w:rsid w:val="009840FB"/>
    <w:rsid w:val="009847F3"/>
    <w:rsid w:val="00984E09"/>
    <w:rsid w:val="009852CA"/>
    <w:rsid w:val="009855B3"/>
    <w:rsid w:val="009857D6"/>
    <w:rsid w:val="00985FA7"/>
    <w:rsid w:val="00986D48"/>
    <w:rsid w:val="009872A5"/>
    <w:rsid w:val="0098755F"/>
    <w:rsid w:val="00987789"/>
    <w:rsid w:val="00987B1C"/>
    <w:rsid w:val="00987FB3"/>
    <w:rsid w:val="00987FE6"/>
    <w:rsid w:val="00990041"/>
    <w:rsid w:val="00990287"/>
    <w:rsid w:val="009904AA"/>
    <w:rsid w:val="009926DA"/>
    <w:rsid w:val="00993914"/>
    <w:rsid w:val="00993918"/>
    <w:rsid w:val="009939AF"/>
    <w:rsid w:val="00993BDC"/>
    <w:rsid w:val="0099425F"/>
    <w:rsid w:val="009948B6"/>
    <w:rsid w:val="00994B22"/>
    <w:rsid w:val="00994B86"/>
    <w:rsid w:val="00994D97"/>
    <w:rsid w:val="009953E6"/>
    <w:rsid w:val="0099610C"/>
    <w:rsid w:val="009967B9"/>
    <w:rsid w:val="009969FC"/>
    <w:rsid w:val="0099752C"/>
    <w:rsid w:val="009977E8"/>
    <w:rsid w:val="0099792B"/>
    <w:rsid w:val="00997CA9"/>
    <w:rsid w:val="00997F6A"/>
    <w:rsid w:val="009A048D"/>
    <w:rsid w:val="009A07B7"/>
    <w:rsid w:val="009A0F80"/>
    <w:rsid w:val="009A1F48"/>
    <w:rsid w:val="009A2078"/>
    <w:rsid w:val="009A2442"/>
    <w:rsid w:val="009A2678"/>
    <w:rsid w:val="009A2C41"/>
    <w:rsid w:val="009A2C9C"/>
    <w:rsid w:val="009A3809"/>
    <w:rsid w:val="009A3EF3"/>
    <w:rsid w:val="009A3FCF"/>
    <w:rsid w:val="009A4B9E"/>
    <w:rsid w:val="009A5A0F"/>
    <w:rsid w:val="009A5A65"/>
    <w:rsid w:val="009A614B"/>
    <w:rsid w:val="009A640B"/>
    <w:rsid w:val="009A706B"/>
    <w:rsid w:val="009B0457"/>
    <w:rsid w:val="009B0C65"/>
    <w:rsid w:val="009B0ECE"/>
    <w:rsid w:val="009B148E"/>
    <w:rsid w:val="009B1545"/>
    <w:rsid w:val="009B1C6C"/>
    <w:rsid w:val="009B203B"/>
    <w:rsid w:val="009B2BB9"/>
    <w:rsid w:val="009B35EF"/>
    <w:rsid w:val="009B372E"/>
    <w:rsid w:val="009B3A5E"/>
    <w:rsid w:val="009B3DA4"/>
    <w:rsid w:val="009B3FAF"/>
    <w:rsid w:val="009B4769"/>
    <w:rsid w:val="009B5023"/>
    <w:rsid w:val="009B5118"/>
    <w:rsid w:val="009B6091"/>
    <w:rsid w:val="009B612F"/>
    <w:rsid w:val="009B6181"/>
    <w:rsid w:val="009B6276"/>
    <w:rsid w:val="009B62C1"/>
    <w:rsid w:val="009B6582"/>
    <w:rsid w:val="009B65A1"/>
    <w:rsid w:val="009B6A2F"/>
    <w:rsid w:val="009B7209"/>
    <w:rsid w:val="009B785E"/>
    <w:rsid w:val="009B7B40"/>
    <w:rsid w:val="009B7E90"/>
    <w:rsid w:val="009C005C"/>
    <w:rsid w:val="009C10E6"/>
    <w:rsid w:val="009C1203"/>
    <w:rsid w:val="009C1595"/>
    <w:rsid w:val="009C1991"/>
    <w:rsid w:val="009C19E2"/>
    <w:rsid w:val="009C1F51"/>
    <w:rsid w:val="009C26F8"/>
    <w:rsid w:val="009C28BA"/>
    <w:rsid w:val="009C2AB9"/>
    <w:rsid w:val="009C2D97"/>
    <w:rsid w:val="009C34D0"/>
    <w:rsid w:val="009C36FA"/>
    <w:rsid w:val="009C387B"/>
    <w:rsid w:val="009C3CE7"/>
    <w:rsid w:val="009C3FE7"/>
    <w:rsid w:val="009C4676"/>
    <w:rsid w:val="009C4B7A"/>
    <w:rsid w:val="009C4F07"/>
    <w:rsid w:val="009C4F97"/>
    <w:rsid w:val="009C58ED"/>
    <w:rsid w:val="009C609E"/>
    <w:rsid w:val="009C65B5"/>
    <w:rsid w:val="009C67F2"/>
    <w:rsid w:val="009C6968"/>
    <w:rsid w:val="009C6984"/>
    <w:rsid w:val="009C6BCF"/>
    <w:rsid w:val="009C6EA6"/>
    <w:rsid w:val="009C6FC8"/>
    <w:rsid w:val="009C7BC2"/>
    <w:rsid w:val="009D054A"/>
    <w:rsid w:val="009D05D1"/>
    <w:rsid w:val="009D069E"/>
    <w:rsid w:val="009D0D42"/>
    <w:rsid w:val="009D0F05"/>
    <w:rsid w:val="009D1ED2"/>
    <w:rsid w:val="009D22DF"/>
    <w:rsid w:val="009D23DE"/>
    <w:rsid w:val="009D25B8"/>
    <w:rsid w:val="009D26AB"/>
    <w:rsid w:val="009D2A1F"/>
    <w:rsid w:val="009D331D"/>
    <w:rsid w:val="009D33D4"/>
    <w:rsid w:val="009D3B30"/>
    <w:rsid w:val="009D5976"/>
    <w:rsid w:val="009D6B98"/>
    <w:rsid w:val="009D73AB"/>
    <w:rsid w:val="009E030A"/>
    <w:rsid w:val="009E075B"/>
    <w:rsid w:val="009E089E"/>
    <w:rsid w:val="009E16EC"/>
    <w:rsid w:val="009E1BEE"/>
    <w:rsid w:val="009E1F25"/>
    <w:rsid w:val="009E2350"/>
    <w:rsid w:val="009E24AA"/>
    <w:rsid w:val="009E2A4C"/>
    <w:rsid w:val="009E2C85"/>
    <w:rsid w:val="009E2DED"/>
    <w:rsid w:val="009E2DFC"/>
    <w:rsid w:val="009E3C94"/>
    <w:rsid w:val="009E3FD5"/>
    <w:rsid w:val="009E433C"/>
    <w:rsid w:val="009E458E"/>
    <w:rsid w:val="009E4A4D"/>
    <w:rsid w:val="009E5117"/>
    <w:rsid w:val="009E550B"/>
    <w:rsid w:val="009E5A2B"/>
    <w:rsid w:val="009E6578"/>
    <w:rsid w:val="009E719A"/>
    <w:rsid w:val="009E7BF4"/>
    <w:rsid w:val="009F081F"/>
    <w:rsid w:val="009F177C"/>
    <w:rsid w:val="009F2292"/>
    <w:rsid w:val="009F2BB0"/>
    <w:rsid w:val="009F34AF"/>
    <w:rsid w:val="009F3994"/>
    <w:rsid w:val="009F3CAD"/>
    <w:rsid w:val="009F4A19"/>
    <w:rsid w:val="009F615F"/>
    <w:rsid w:val="009F703F"/>
    <w:rsid w:val="009F713A"/>
    <w:rsid w:val="009F76EF"/>
    <w:rsid w:val="009F7A5F"/>
    <w:rsid w:val="00A0132C"/>
    <w:rsid w:val="00A017E4"/>
    <w:rsid w:val="00A01F7F"/>
    <w:rsid w:val="00A02078"/>
    <w:rsid w:val="00A020D2"/>
    <w:rsid w:val="00A023CF"/>
    <w:rsid w:val="00A0274F"/>
    <w:rsid w:val="00A02ED3"/>
    <w:rsid w:val="00A0311E"/>
    <w:rsid w:val="00A03726"/>
    <w:rsid w:val="00A03FD6"/>
    <w:rsid w:val="00A0423B"/>
    <w:rsid w:val="00A04BF0"/>
    <w:rsid w:val="00A0579B"/>
    <w:rsid w:val="00A063D2"/>
    <w:rsid w:val="00A06A0E"/>
    <w:rsid w:val="00A06A3D"/>
    <w:rsid w:val="00A06C6F"/>
    <w:rsid w:val="00A06E7E"/>
    <w:rsid w:val="00A06EAA"/>
    <w:rsid w:val="00A07050"/>
    <w:rsid w:val="00A07915"/>
    <w:rsid w:val="00A07BA9"/>
    <w:rsid w:val="00A07CE4"/>
    <w:rsid w:val="00A105B5"/>
    <w:rsid w:val="00A10D29"/>
    <w:rsid w:val="00A10EBA"/>
    <w:rsid w:val="00A11128"/>
    <w:rsid w:val="00A11AAD"/>
    <w:rsid w:val="00A11C01"/>
    <w:rsid w:val="00A1277C"/>
    <w:rsid w:val="00A13E56"/>
    <w:rsid w:val="00A14695"/>
    <w:rsid w:val="00A14BEB"/>
    <w:rsid w:val="00A15050"/>
    <w:rsid w:val="00A1676B"/>
    <w:rsid w:val="00A1722C"/>
    <w:rsid w:val="00A179F2"/>
    <w:rsid w:val="00A17A46"/>
    <w:rsid w:val="00A20616"/>
    <w:rsid w:val="00A209F1"/>
    <w:rsid w:val="00A21543"/>
    <w:rsid w:val="00A217CA"/>
    <w:rsid w:val="00A22080"/>
    <w:rsid w:val="00A227BF"/>
    <w:rsid w:val="00A22991"/>
    <w:rsid w:val="00A23012"/>
    <w:rsid w:val="00A23CAC"/>
    <w:rsid w:val="00A241CB"/>
    <w:rsid w:val="00A24838"/>
    <w:rsid w:val="00A25070"/>
    <w:rsid w:val="00A2520F"/>
    <w:rsid w:val="00A253AC"/>
    <w:rsid w:val="00A25E52"/>
    <w:rsid w:val="00A2743E"/>
    <w:rsid w:val="00A30365"/>
    <w:rsid w:val="00A3074A"/>
    <w:rsid w:val="00A30C33"/>
    <w:rsid w:val="00A3128C"/>
    <w:rsid w:val="00A31C8D"/>
    <w:rsid w:val="00A31F18"/>
    <w:rsid w:val="00A32074"/>
    <w:rsid w:val="00A32D80"/>
    <w:rsid w:val="00A33822"/>
    <w:rsid w:val="00A33830"/>
    <w:rsid w:val="00A34283"/>
    <w:rsid w:val="00A3429C"/>
    <w:rsid w:val="00A34D82"/>
    <w:rsid w:val="00A35518"/>
    <w:rsid w:val="00A36B4A"/>
    <w:rsid w:val="00A36F9C"/>
    <w:rsid w:val="00A375FF"/>
    <w:rsid w:val="00A37755"/>
    <w:rsid w:val="00A379D4"/>
    <w:rsid w:val="00A37B74"/>
    <w:rsid w:val="00A37D60"/>
    <w:rsid w:val="00A40188"/>
    <w:rsid w:val="00A401CB"/>
    <w:rsid w:val="00A4148F"/>
    <w:rsid w:val="00A41690"/>
    <w:rsid w:val="00A4278B"/>
    <w:rsid w:val="00A42854"/>
    <w:rsid w:val="00A42E99"/>
    <w:rsid w:val="00A4308C"/>
    <w:rsid w:val="00A43432"/>
    <w:rsid w:val="00A43BDF"/>
    <w:rsid w:val="00A43D13"/>
    <w:rsid w:val="00A44836"/>
    <w:rsid w:val="00A44BC5"/>
    <w:rsid w:val="00A44F22"/>
    <w:rsid w:val="00A45166"/>
    <w:rsid w:val="00A453D6"/>
    <w:rsid w:val="00A458B7"/>
    <w:rsid w:val="00A46041"/>
    <w:rsid w:val="00A46604"/>
    <w:rsid w:val="00A46D4E"/>
    <w:rsid w:val="00A47880"/>
    <w:rsid w:val="00A47C8A"/>
    <w:rsid w:val="00A50434"/>
    <w:rsid w:val="00A50AB5"/>
    <w:rsid w:val="00A5100F"/>
    <w:rsid w:val="00A524B5"/>
    <w:rsid w:val="00A524FF"/>
    <w:rsid w:val="00A52D4B"/>
    <w:rsid w:val="00A53405"/>
    <w:rsid w:val="00A53E1D"/>
    <w:rsid w:val="00A54968"/>
    <w:rsid w:val="00A549B3"/>
    <w:rsid w:val="00A553B3"/>
    <w:rsid w:val="00A55619"/>
    <w:rsid w:val="00A55838"/>
    <w:rsid w:val="00A56035"/>
    <w:rsid w:val="00A56184"/>
    <w:rsid w:val="00A56373"/>
    <w:rsid w:val="00A565ED"/>
    <w:rsid w:val="00A56BB5"/>
    <w:rsid w:val="00A56BB7"/>
    <w:rsid w:val="00A57493"/>
    <w:rsid w:val="00A5792A"/>
    <w:rsid w:val="00A57B2C"/>
    <w:rsid w:val="00A60035"/>
    <w:rsid w:val="00A60C4A"/>
    <w:rsid w:val="00A6107C"/>
    <w:rsid w:val="00A6178B"/>
    <w:rsid w:val="00A61A7C"/>
    <w:rsid w:val="00A61BD7"/>
    <w:rsid w:val="00A62060"/>
    <w:rsid w:val="00A628C4"/>
    <w:rsid w:val="00A629AC"/>
    <w:rsid w:val="00A6356A"/>
    <w:rsid w:val="00A63A3E"/>
    <w:rsid w:val="00A63CAA"/>
    <w:rsid w:val="00A6449D"/>
    <w:rsid w:val="00A64D15"/>
    <w:rsid w:val="00A655DF"/>
    <w:rsid w:val="00A65641"/>
    <w:rsid w:val="00A65660"/>
    <w:rsid w:val="00A659BD"/>
    <w:rsid w:val="00A65B52"/>
    <w:rsid w:val="00A65BEE"/>
    <w:rsid w:val="00A66081"/>
    <w:rsid w:val="00A66250"/>
    <w:rsid w:val="00A664D4"/>
    <w:rsid w:val="00A67954"/>
    <w:rsid w:val="00A67ABF"/>
    <w:rsid w:val="00A67CB5"/>
    <w:rsid w:val="00A67CD0"/>
    <w:rsid w:val="00A7135A"/>
    <w:rsid w:val="00A7161B"/>
    <w:rsid w:val="00A716AD"/>
    <w:rsid w:val="00A72893"/>
    <w:rsid w:val="00A72ED7"/>
    <w:rsid w:val="00A73AE5"/>
    <w:rsid w:val="00A73D0F"/>
    <w:rsid w:val="00A7599F"/>
    <w:rsid w:val="00A76A39"/>
    <w:rsid w:val="00A77E02"/>
    <w:rsid w:val="00A800A9"/>
    <w:rsid w:val="00A80352"/>
    <w:rsid w:val="00A803B9"/>
    <w:rsid w:val="00A8083F"/>
    <w:rsid w:val="00A80BAE"/>
    <w:rsid w:val="00A80CDB"/>
    <w:rsid w:val="00A81042"/>
    <w:rsid w:val="00A81984"/>
    <w:rsid w:val="00A81C0E"/>
    <w:rsid w:val="00A81FF8"/>
    <w:rsid w:val="00A82245"/>
    <w:rsid w:val="00A823F1"/>
    <w:rsid w:val="00A82D5A"/>
    <w:rsid w:val="00A831F2"/>
    <w:rsid w:val="00A83FF2"/>
    <w:rsid w:val="00A842F9"/>
    <w:rsid w:val="00A84D0E"/>
    <w:rsid w:val="00A85775"/>
    <w:rsid w:val="00A86031"/>
    <w:rsid w:val="00A86343"/>
    <w:rsid w:val="00A869B7"/>
    <w:rsid w:val="00A87080"/>
    <w:rsid w:val="00A87380"/>
    <w:rsid w:val="00A87C2E"/>
    <w:rsid w:val="00A907A9"/>
    <w:rsid w:val="00A90A1B"/>
    <w:rsid w:val="00A90AAC"/>
    <w:rsid w:val="00A90D86"/>
    <w:rsid w:val="00A91112"/>
    <w:rsid w:val="00A9146F"/>
    <w:rsid w:val="00A91B65"/>
    <w:rsid w:val="00A91DBA"/>
    <w:rsid w:val="00A91F2B"/>
    <w:rsid w:val="00A929A7"/>
    <w:rsid w:val="00A9466D"/>
    <w:rsid w:val="00A94808"/>
    <w:rsid w:val="00A954DF"/>
    <w:rsid w:val="00A95526"/>
    <w:rsid w:val="00A960C2"/>
    <w:rsid w:val="00A961C3"/>
    <w:rsid w:val="00A96E66"/>
    <w:rsid w:val="00A97484"/>
    <w:rsid w:val="00A97900"/>
    <w:rsid w:val="00A97984"/>
    <w:rsid w:val="00AA0274"/>
    <w:rsid w:val="00AA07CC"/>
    <w:rsid w:val="00AA0C7B"/>
    <w:rsid w:val="00AA0F31"/>
    <w:rsid w:val="00AA1904"/>
    <w:rsid w:val="00AA1B91"/>
    <w:rsid w:val="00AA1D7A"/>
    <w:rsid w:val="00AA1FD9"/>
    <w:rsid w:val="00AA24EA"/>
    <w:rsid w:val="00AA2572"/>
    <w:rsid w:val="00AA2B33"/>
    <w:rsid w:val="00AA2BE8"/>
    <w:rsid w:val="00AA341B"/>
    <w:rsid w:val="00AA3937"/>
    <w:rsid w:val="00AA39F5"/>
    <w:rsid w:val="00AA3D54"/>
    <w:rsid w:val="00AA3E01"/>
    <w:rsid w:val="00AA40D9"/>
    <w:rsid w:val="00AA4FCC"/>
    <w:rsid w:val="00AA5662"/>
    <w:rsid w:val="00AA661C"/>
    <w:rsid w:val="00AA66CA"/>
    <w:rsid w:val="00AA6715"/>
    <w:rsid w:val="00AA68AE"/>
    <w:rsid w:val="00AA6A90"/>
    <w:rsid w:val="00AA7533"/>
    <w:rsid w:val="00AA7749"/>
    <w:rsid w:val="00AA7AF4"/>
    <w:rsid w:val="00AA7C4C"/>
    <w:rsid w:val="00AA7FA9"/>
    <w:rsid w:val="00AB05EE"/>
    <w:rsid w:val="00AB0623"/>
    <w:rsid w:val="00AB0BFA"/>
    <w:rsid w:val="00AB0C75"/>
    <w:rsid w:val="00AB10BE"/>
    <w:rsid w:val="00AB1544"/>
    <w:rsid w:val="00AB1929"/>
    <w:rsid w:val="00AB1B5E"/>
    <w:rsid w:val="00AB2A94"/>
    <w:rsid w:val="00AB2C66"/>
    <w:rsid w:val="00AB328F"/>
    <w:rsid w:val="00AB4E8B"/>
    <w:rsid w:val="00AB6342"/>
    <w:rsid w:val="00AB6BAD"/>
    <w:rsid w:val="00AB6D91"/>
    <w:rsid w:val="00AB6E2C"/>
    <w:rsid w:val="00AB76B7"/>
    <w:rsid w:val="00AB7727"/>
    <w:rsid w:val="00AB7A16"/>
    <w:rsid w:val="00AB7B2A"/>
    <w:rsid w:val="00AB7E44"/>
    <w:rsid w:val="00AC059C"/>
    <w:rsid w:val="00AC10A8"/>
    <w:rsid w:val="00AC1DCE"/>
    <w:rsid w:val="00AC202E"/>
    <w:rsid w:val="00AC2081"/>
    <w:rsid w:val="00AC2FF2"/>
    <w:rsid w:val="00AC33A2"/>
    <w:rsid w:val="00AC4045"/>
    <w:rsid w:val="00AC43C8"/>
    <w:rsid w:val="00AC473A"/>
    <w:rsid w:val="00AC48DE"/>
    <w:rsid w:val="00AC4F06"/>
    <w:rsid w:val="00AC5176"/>
    <w:rsid w:val="00AC583D"/>
    <w:rsid w:val="00AC62E3"/>
    <w:rsid w:val="00AC7481"/>
    <w:rsid w:val="00AC780D"/>
    <w:rsid w:val="00AD0EA2"/>
    <w:rsid w:val="00AD12E6"/>
    <w:rsid w:val="00AD154F"/>
    <w:rsid w:val="00AD28ED"/>
    <w:rsid w:val="00AD28F0"/>
    <w:rsid w:val="00AD2B15"/>
    <w:rsid w:val="00AD38F7"/>
    <w:rsid w:val="00AD46BA"/>
    <w:rsid w:val="00AD47BE"/>
    <w:rsid w:val="00AD4938"/>
    <w:rsid w:val="00AD4961"/>
    <w:rsid w:val="00AD4DA6"/>
    <w:rsid w:val="00AD53D1"/>
    <w:rsid w:val="00AD5A20"/>
    <w:rsid w:val="00AD689B"/>
    <w:rsid w:val="00AD6D9B"/>
    <w:rsid w:val="00AE03C8"/>
    <w:rsid w:val="00AE0A34"/>
    <w:rsid w:val="00AE0B1D"/>
    <w:rsid w:val="00AE0D4E"/>
    <w:rsid w:val="00AE13FA"/>
    <w:rsid w:val="00AE1DD2"/>
    <w:rsid w:val="00AE20A9"/>
    <w:rsid w:val="00AE2656"/>
    <w:rsid w:val="00AE324A"/>
    <w:rsid w:val="00AE3661"/>
    <w:rsid w:val="00AE3DE6"/>
    <w:rsid w:val="00AE436D"/>
    <w:rsid w:val="00AE43D8"/>
    <w:rsid w:val="00AE448C"/>
    <w:rsid w:val="00AE51BC"/>
    <w:rsid w:val="00AE544C"/>
    <w:rsid w:val="00AE65F1"/>
    <w:rsid w:val="00AE6BB4"/>
    <w:rsid w:val="00AE7159"/>
    <w:rsid w:val="00AE74AD"/>
    <w:rsid w:val="00AF02C6"/>
    <w:rsid w:val="00AF084E"/>
    <w:rsid w:val="00AF159C"/>
    <w:rsid w:val="00AF1D1E"/>
    <w:rsid w:val="00AF1FAE"/>
    <w:rsid w:val="00AF24F6"/>
    <w:rsid w:val="00AF26DD"/>
    <w:rsid w:val="00AF292E"/>
    <w:rsid w:val="00AF2F0F"/>
    <w:rsid w:val="00AF3491"/>
    <w:rsid w:val="00AF35DC"/>
    <w:rsid w:val="00AF4883"/>
    <w:rsid w:val="00AF4966"/>
    <w:rsid w:val="00AF4E70"/>
    <w:rsid w:val="00AF50CC"/>
    <w:rsid w:val="00AF6533"/>
    <w:rsid w:val="00B0022F"/>
    <w:rsid w:val="00B007F2"/>
    <w:rsid w:val="00B008CC"/>
    <w:rsid w:val="00B00A27"/>
    <w:rsid w:val="00B01873"/>
    <w:rsid w:val="00B022E9"/>
    <w:rsid w:val="00B0251B"/>
    <w:rsid w:val="00B033A4"/>
    <w:rsid w:val="00B03E94"/>
    <w:rsid w:val="00B04223"/>
    <w:rsid w:val="00B04288"/>
    <w:rsid w:val="00B045A3"/>
    <w:rsid w:val="00B04862"/>
    <w:rsid w:val="00B04AB2"/>
    <w:rsid w:val="00B04E3C"/>
    <w:rsid w:val="00B05631"/>
    <w:rsid w:val="00B0572F"/>
    <w:rsid w:val="00B074AB"/>
    <w:rsid w:val="00B07717"/>
    <w:rsid w:val="00B07860"/>
    <w:rsid w:val="00B07C8B"/>
    <w:rsid w:val="00B1098B"/>
    <w:rsid w:val="00B10DFC"/>
    <w:rsid w:val="00B10E88"/>
    <w:rsid w:val="00B117B3"/>
    <w:rsid w:val="00B11A55"/>
    <w:rsid w:val="00B11FB9"/>
    <w:rsid w:val="00B12505"/>
    <w:rsid w:val="00B129A3"/>
    <w:rsid w:val="00B1310B"/>
    <w:rsid w:val="00B135C2"/>
    <w:rsid w:val="00B13AC5"/>
    <w:rsid w:val="00B13C4E"/>
    <w:rsid w:val="00B143D3"/>
    <w:rsid w:val="00B144ED"/>
    <w:rsid w:val="00B148CA"/>
    <w:rsid w:val="00B14FC1"/>
    <w:rsid w:val="00B15C28"/>
    <w:rsid w:val="00B16037"/>
    <w:rsid w:val="00B16334"/>
    <w:rsid w:val="00B17253"/>
    <w:rsid w:val="00B17B35"/>
    <w:rsid w:val="00B17E2C"/>
    <w:rsid w:val="00B200A6"/>
    <w:rsid w:val="00B20475"/>
    <w:rsid w:val="00B20663"/>
    <w:rsid w:val="00B2252E"/>
    <w:rsid w:val="00B228E7"/>
    <w:rsid w:val="00B22DF5"/>
    <w:rsid w:val="00B235E5"/>
    <w:rsid w:val="00B2413D"/>
    <w:rsid w:val="00B24149"/>
    <w:rsid w:val="00B250D6"/>
    <w:rsid w:val="00B256AA"/>
    <w:rsid w:val="00B2583D"/>
    <w:rsid w:val="00B266EB"/>
    <w:rsid w:val="00B26A2D"/>
    <w:rsid w:val="00B26CFF"/>
    <w:rsid w:val="00B278D9"/>
    <w:rsid w:val="00B27CA5"/>
    <w:rsid w:val="00B3016E"/>
    <w:rsid w:val="00B301F6"/>
    <w:rsid w:val="00B305A5"/>
    <w:rsid w:val="00B30785"/>
    <w:rsid w:val="00B30BB6"/>
    <w:rsid w:val="00B314FB"/>
    <w:rsid w:val="00B31A41"/>
    <w:rsid w:val="00B31D8B"/>
    <w:rsid w:val="00B3203C"/>
    <w:rsid w:val="00B321B6"/>
    <w:rsid w:val="00B33991"/>
    <w:rsid w:val="00B33D38"/>
    <w:rsid w:val="00B33E0E"/>
    <w:rsid w:val="00B33F64"/>
    <w:rsid w:val="00B34357"/>
    <w:rsid w:val="00B34511"/>
    <w:rsid w:val="00B35626"/>
    <w:rsid w:val="00B35760"/>
    <w:rsid w:val="00B35790"/>
    <w:rsid w:val="00B364F3"/>
    <w:rsid w:val="00B375D6"/>
    <w:rsid w:val="00B37879"/>
    <w:rsid w:val="00B37BF1"/>
    <w:rsid w:val="00B37CD3"/>
    <w:rsid w:val="00B40199"/>
    <w:rsid w:val="00B4041C"/>
    <w:rsid w:val="00B4113B"/>
    <w:rsid w:val="00B412DC"/>
    <w:rsid w:val="00B41A8A"/>
    <w:rsid w:val="00B41F48"/>
    <w:rsid w:val="00B42136"/>
    <w:rsid w:val="00B43D33"/>
    <w:rsid w:val="00B441C7"/>
    <w:rsid w:val="00B452C5"/>
    <w:rsid w:val="00B453D3"/>
    <w:rsid w:val="00B45400"/>
    <w:rsid w:val="00B455B4"/>
    <w:rsid w:val="00B45CBE"/>
    <w:rsid w:val="00B46914"/>
    <w:rsid w:val="00B46FD9"/>
    <w:rsid w:val="00B501B2"/>
    <w:rsid w:val="00B502FF"/>
    <w:rsid w:val="00B50B90"/>
    <w:rsid w:val="00B50E28"/>
    <w:rsid w:val="00B51ECF"/>
    <w:rsid w:val="00B52349"/>
    <w:rsid w:val="00B525EB"/>
    <w:rsid w:val="00B5260E"/>
    <w:rsid w:val="00B526A4"/>
    <w:rsid w:val="00B52BB5"/>
    <w:rsid w:val="00B54481"/>
    <w:rsid w:val="00B55ACF"/>
    <w:rsid w:val="00B55BE2"/>
    <w:rsid w:val="00B55C62"/>
    <w:rsid w:val="00B55DB3"/>
    <w:rsid w:val="00B56313"/>
    <w:rsid w:val="00B56524"/>
    <w:rsid w:val="00B56A75"/>
    <w:rsid w:val="00B57292"/>
    <w:rsid w:val="00B57923"/>
    <w:rsid w:val="00B6059E"/>
    <w:rsid w:val="00B6066D"/>
    <w:rsid w:val="00B61B6E"/>
    <w:rsid w:val="00B621CA"/>
    <w:rsid w:val="00B62376"/>
    <w:rsid w:val="00B6246D"/>
    <w:rsid w:val="00B627DD"/>
    <w:rsid w:val="00B62B09"/>
    <w:rsid w:val="00B634FA"/>
    <w:rsid w:val="00B64292"/>
    <w:rsid w:val="00B643DF"/>
    <w:rsid w:val="00B64E67"/>
    <w:rsid w:val="00B64FFE"/>
    <w:rsid w:val="00B65300"/>
    <w:rsid w:val="00B65520"/>
    <w:rsid w:val="00B65758"/>
    <w:rsid w:val="00B6576A"/>
    <w:rsid w:val="00B657C4"/>
    <w:rsid w:val="00B658B7"/>
    <w:rsid w:val="00B65EEC"/>
    <w:rsid w:val="00B663C5"/>
    <w:rsid w:val="00B66BCE"/>
    <w:rsid w:val="00B67422"/>
    <w:rsid w:val="00B70796"/>
    <w:rsid w:val="00B70BD4"/>
    <w:rsid w:val="00B70C40"/>
    <w:rsid w:val="00B712CA"/>
    <w:rsid w:val="00B7211D"/>
    <w:rsid w:val="00B728BF"/>
    <w:rsid w:val="00B72A28"/>
    <w:rsid w:val="00B73463"/>
    <w:rsid w:val="00B735F7"/>
    <w:rsid w:val="00B74490"/>
    <w:rsid w:val="00B74B00"/>
    <w:rsid w:val="00B75110"/>
    <w:rsid w:val="00B75B63"/>
    <w:rsid w:val="00B76156"/>
    <w:rsid w:val="00B767FC"/>
    <w:rsid w:val="00B76AB2"/>
    <w:rsid w:val="00B7715B"/>
    <w:rsid w:val="00B77797"/>
    <w:rsid w:val="00B77A81"/>
    <w:rsid w:val="00B77B60"/>
    <w:rsid w:val="00B8024C"/>
    <w:rsid w:val="00B802F8"/>
    <w:rsid w:val="00B80BA4"/>
    <w:rsid w:val="00B812CD"/>
    <w:rsid w:val="00B81514"/>
    <w:rsid w:val="00B818C2"/>
    <w:rsid w:val="00B82458"/>
    <w:rsid w:val="00B82744"/>
    <w:rsid w:val="00B82DD7"/>
    <w:rsid w:val="00B82FA9"/>
    <w:rsid w:val="00B836B3"/>
    <w:rsid w:val="00B83CAB"/>
    <w:rsid w:val="00B83EFA"/>
    <w:rsid w:val="00B83F67"/>
    <w:rsid w:val="00B84058"/>
    <w:rsid w:val="00B84ED1"/>
    <w:rsid w:val="00B84F2E"/>
    <w:rsid w:val="00B85550"/>
    <w:rsid w:val="00B85B9C"/>
    <w:rsid w:val="00B85EFE"/>
    <w:rsid w:val="00B85FF4"/>
    <w:rsid w:val="00B8706E"/>
    <w:rsid w:val="00B87641"/>
    <w:rsid w:val="00B87B6E"/>
    <w:rsid w:val="00B87FD9"/>
    <w:rsid w:val="00B9003D"/>
    <w:rsid w:val="00B90043"/>
    <w:rsid w:val="00B90123"/>
    <w:rsid w:val="00B9016D"/>
    <w:rsid w:val="00B9020F"/>
    <w:rsid w:val="00B910D7"/>
    <w:rsid w:val="00B91187"/>
    <w:rsid w:val="00B91312"/>
    <w:rsid w:val="00B9136F"/>
    <w:rsid w:val="00B917B5"/>
    <w:rsid w:val="00B91F59"/>
    <w:rsid w:val="00B92216"/>
    <w:rsid w:val="00B923F4"/>
    <w:rsid w:val="00B92476"/>
    <w:rsid w:val="00B92879"/>
    <w:rsid w:val="00B935EE"/>
    <w:rsid w:val="00B937D0"/>
    <w:rsid w:val="00B93C55"/>
    <w:rsid w:val="00B95474"/>
    <w:rsid w:val="00B95730"/>
    <w:rsid w:val="00B95E83"/>
    <w:rsid w:val="00B9652D"/>
    <w:rsid w:val="00B9696D"/>
    <w:rsid w:val="00B97664"/>
    <w:rsid w:val="00B978A7"/>
    <w:rsid w:val="00B97BDF"/>
    <w:rsid w:val="00B97EAC"/>
    <w:rsid w:val="00B97F55"/>
    <w:rsid w:val="00B97F63"/>
    <w:rsid w:val="00BA0296"/>
    <w:rsid w:val="00BA069A"/>
    <w:rsid w:val="00BA0F98"/>
    <w:rsid w:val="00BA100C"/>
    <w:rsid w:val="00BA1517"/>
    <w:rsid w:val="00BA1692"/>
    <w:rsid w:val="00BA1B03"/>
    <w:rsid w:val="00BA1C02"/>
    <w:rsid w:val="00BA2B79"/>
    <w:rsid w:val="00BA3C43"/>
    <w:rsid w:val="00BA3F63"/>
    <w:rsid w:val="00BA4433"/>
    <w:rsid w:val="00BA472F"/>
    <w:rsid w:val="00BA4E00"/>
    <w:rsid w:val="00BA4E39"/>
    <w:rsid w:val="00BA4F93"/>
    <w:rsid w:val="00BA5513"/>
    <w:rsid w:val="00BA62F2"/>
    <w:rsid w:val="00BA67FD"/>
    <w:rsid w:val="00BA7C48"/>
    <w:rsid w:val="00BA7D2C"/>
    <w:rsid w:val="00BA7ED2"/>
    <w:rsid w:val="00BB03CF"/>
    <w:rsid w:val="00BB1628"/>
    <w:rsid w:val="00BB188E"/>
    <w:rsid w:val="00BB1C1F"/>
    <w:rsid w:val="00BB222B"/>
    <w:rsid w:val="00BB2925"/>
    <w:rsid w:val="00BB2C23"/>
    <w:rsid w:val="00BB3126"/>
    <w:rsid w:val="00BB3234"/>
    <w:rsid w:val="00BB4616"/>
    <w:rsid w:val="00BB49D5"/>
    <w:rsid w:val="00BB4D03"/>
    <w:rsid w:val="00BB5D89"/>
    <w:rsid w:val="00BB620F"/>
    <w:rsid w:val="00BB66EE"/>
    <w:rsid w:val="00BB6917"/>
    <w:rsid w:val="00BB6A70"/>
    <w:rsid w:val="00BB747A"/>
    <w:rsid w:val="00BB792E"/>
    <w:rsid w:val="00BB7985"/>
    <w:rsid w:val="00BB7A97"/>
    <w:rsid w:val="00BC00D5"/>
    <w:rsid w:val="00BC038B"/>
    <w:rsid w:val="00BC0473"/>
    <w:rsid w:val="00BC10C5"/>
    <w:rsid w:val="00BC1C11"/>
    <w:rsid w:val="00BC1C6B"/>
    <w:rsid w:val="00BC2249"/>
    <w:rsid w:val="00BC251F"/>
    <w:rsid w:val="00BC27F6"/>
    <w:rsid w:val="00BC2A11"/>
    <w:rsid w:val="00BC35E8"/>
    <w:rsid w:val="00BC39F4"/>
    <w:rsid w:val="00BC3D9C"/>
    <w:rsid w:val="00BC4DD1"/>
    <w:rsid w:val="00BC5062"/>
    <w:rsid w:val="00BC519D"/>
    <w:rsid w:val="00BC5479"/>
    <w:rsid w:val="00BC593F"/>
    <w:rsid w:val="00BC60C0"/>
    <w:rsid w:val="00BC61EE"/>
    <w:rsid w:val="00BC7296"/>
    <w:rsid w:val="00BC7799"/>
    <w:rsid w:val="00BC7FE0"/>
    <w:rsid w:val="00BD0098"/>
    <w:rsid w:val="00BD0860"/>
    <w:rsid w:val="00BD0CA3"/>
    <w:rsid w:val="00BD0E22"/>
    <w:rsid w:val="00BD0EA2"/>
    <w:rsid w:val="00BD14CE"/>
    <w:rsid w:val="00BD150C"/>
    <w:rsid w:val="00BD1587"/>
    <w:rsid w:val="00BD2055"/>
    <w:rsid w:val="00BD27E3"/>
    <w:rsid w:val="00BD2AD9"/>
    <w:rsid w:val="00BD2CE3"/>
    <w:rsid w:val="00BD31A7"/>
    <w:rsid w:val="00BD35D2"/>
    <w:rsid w:val="00BD3ABC"/>
    <w:rsid w:val="00BD3EDC"/>
    <w:rsid w:val="00BD47C7"/>
    <w:rsid w:val="00BD4C95"/>
    <w:rsid w:val="00BD528B"/>
    <w:rsid w:val="00BD53B0"/>
    <w:rsid w:val="00BD5C85"/>
    <w:rsid w:val="00BD6168"/>
    <w:rsid w:val="00BD63FA"/>
    <w:rsid w:val="00BD6490"/>
    <w:rsid w:val="00BD6A20"/>
    <w:rsid w:val="00BD758F"/>
    <w:rsid w:val="00BD75BE"/>
    <w:rsid w:val="00BD7EE1"/>
    <w:rsid w:val="00BE0DE2"/>
    <w:rsid w:val="00BE0FE1"/>
    <w:rsid w:val="00BE109E"/>
    <w:rsid w:val="00BE143F"/>
    <w:rsid w:val="00BE1745"/>
    <w:rsid w:val="00BE22B7"/>
    <w:rsid w:val="00BE2348"/>
    <w:rsid w:val="00BE2CCE"/>
    <w:rsid w:val="00BE316E"/>
    <w:rsid w:val="00BE3235"/>
    <w:rsid w:val="00BE3247"/>
    <w:rsid w:val="00BE3328"/>
    <w:rsid w:val="00BE4066"/>
    <w:rsid w:val="00BE42F9"/>
    <w:rsid w:val="00BE436A"/>
    <w:rsid w:val="00BE493C"/>
    <w:rsid w:val="00BE4ADF"/>
    <w:rsid w:val="00BE5568"/>
    <w:rsid w:val="00BE5764"/>
    <w:rsid w:val="00BE615C"/>
    <w:rsid w:val="00BE6707"/>
    <w:rsid w:val="00BE71DA"/>
    <w:rsid w:val="00BE7634"/>
    <w:rsid w:val="00BE7DBA"/>
    <w:rsid w:val="00BF03E6"/>
    <w:rsid w:val="00BF0C8D"/>
    <w:rsid w:val="00BF1002"/>
    <w:rsid w:val="00BF1358"/>
    <w:rsid w:val="00BF164B"/>
    <w:rsid w:val="00BF1B94"/>
    <w:rsid w:val="00BF27FC"/>
    <w:rsid w:val="00BF2830"/>
    <w:rsid w:val="00BF2BCC"/>
    <w:rsid w:val="00BF31F8"/>
    <w:rsid w:val="00BF342C"/>
    <w:rsid w:val="00BF34CF"/>
    <w:rsid w:val="00BF3BAD"/>
    <w:rsid w:val="00BF3E1B"/>
    <w:rsid w:val="00BF48F8"/>
    <w:rsid w:val="00BF50A6"/>
    <w:rsid w:val="00BF5F46"/>
    <w:rsid w:val="00BF6A61"/>
    <w:rsid w:val="00BF7209"/>
    <w:rsid w:val="00BF766A"/>
    <w:rsid w:val="00C0077E"/>
    <w:rsid w:val="00C00854"/>
    <w:rsid w:val="00C0106D"/>
    <w:rsid w:val="00C01385"/>
    <w:rsid w:val="00C01659"/>
    <w:rsid w:val="00C0197C"/>
    <w:rsid w:val="00C01A27"/>
    <w:rsid w:val="00C01BCB"/>
    <w:rsid w:val="00C02958"/>
    <w:rsid w:val="00C02CCE"/>
    <w:rsid w:val="00C036B8"/>
    <w:rsid w:val="00C03E15"/>
    <w:rsid w:val="00C04291"/>
    <w:rsid w:val="00C04423"/>
    <w:rsid w:val="00C04EAB"/>
    <w:rsid w:val="00C065E6"/>
    <w:rsid w:val="00C06C7A"/>
    <w:rsid w:val="00C075D8"/>
    <w:rsid w:val="00C07C95"/>
    <w:rsid w:val="00C10B8F"/>
    <w:rsid w:val="00C10EF7"/>
    <w:rsid w:val="00C11102"/>
    <w:rsid w:val="00C1174C"/>
    <w:rsid w:val="00C118C9"/>
    <w:rsid w:val="00C11EFE"/>
    <w:rsid w:val="00C12307"/>
    <w:rsid w:val="00C130C5"/>
    <w:rsid w:val="00C13271"/>
    <w:rsid w:val="00C133BE"/>
    <w:rsid w:val="00C13F36"/>
    <w:rsid w:val="00C1400A"/>
    <w:rsid w:val="00C143E2"/>
    <w:rsid w:val="00C1455E"/>
    <w:rsid w:val="00C1478B"/>
    <w:rsid w:val="00C14B7D"/>
    <w:rsid w:val="00C154F1"/>
    <w:rsid w:val="00C1595A"/>
    <w:rsid w:val="00C1693D"/>
    <w:rsid w:val="00C20159"/>
    <w:rsid w:val="00C206B9"/>
    <w:rsid w:val="00C20AA0"/>
    <w:rsid w:val="00C20B93"/>
    <w:rsid w:val="00C21F0F"/>
    <w:rsid w:val="00C222B4"/>
    <w:rsid w:val="00C229B8"/>
    <w:rsid w:val="00C23673"/>
    <w:rsid w:val="00C23EDB"/>
    <w:rsid w:val="00C2414B"/>
    <w:rsid w:val="00C24CEF"/>
    <w:rsid w:val="00C256CD"/>
    <w:rsid w:val="00C25B91"/>
    <w:rsid w:val="00C25BB1"/>
    <w:rsid w:val="00C25D89"/>
    <w:rsid w:val="00C262E4"/>
    <w:rsid w:val="00C2672E"/>
    <w:rsid w:val="00C26E1B"/>
    <w:rsid w:val="00C27CD8"/>
    <w:rsid w:val="00C30C25"/>
    <w:rsid w:val="00C30FB4"/>
    <w:rsid w:val="00C32346"/>
    <w:rsid w:val="00C32733"/>
    <w:rsid w:val="00C332D9"/>
    <w:rsid w:val="00C33412"/>
    <w:rsid w:val="00C33E20"/>
    <w:rsid w:val="00C34433"/>
    <w:rsid w:val="00C34472"/>
    <w:rsid w:val="00C34D30"/>
    <w:rsid w:val="00C34E61"/>
    <w:rsid w:val="00C351C2"/>
    <w:rsid w:val="00C35CF6"/>
    <w:rsid w:val="00C36820"/>
    <w:rsid w:val="00C3725B"/>
    <w:rsid w:val="00C40169"/>
    <w:rsid w:val="00C401B7"/>
    <w:rsid w:val="00C40578"/>
    <w:rsid w:val="00C40708"/>
    <w:rsid w:val="00C40FDF"/>
    <w:rsid w:val="00C41069"/>
    <w:rsid w:val="00C41358"/>
    <w:rsid w:val="00C41BAC"/>
    <w:rsid w:val="00C42405"/>
    <w:rsid w:val="00C42D38"/>
    <w:rsid w:val="00C42D5B"/>
    <w:rsid w:val="00C42F9B"/>
    <w:rsid w:val="00C43763"/>
    <w:rsid w:val="00C440D1"/>
    <w:rsid w:val="00C442D1"/>
    <w:rsid w:val="00C4478F"/>
    <w:rsid w:val="00C447E2"/>
    <w:rsid w:val="00C4582A"/>
    <w:rsid w:val="00C46133"/>
    <w:rsid w:val="00C4650C"/>
    <w:rsid w:val="00C473B5"/>
    <w:rsid w:val="00C47A25"/>
    <w:rsid w:val="00C512B1"/>
    <w:rsid w:val="00C51489"/>
    <w:rsid w:val="00C51645"/>
    <w:rsid w:val="00C5198C"/>
    <w:rsid w:val="00C52183"/>
    <w:rsid w:val="00C52223"/>
    <w:rsid w:val="00C522BE"/>
    <w:rsid w:val="00C523A1"/>
    <w:rsid w:val="00C52413"/>
    <w:rsid w:val="00C52461"/>
    <w:rsid w:val="00C533EC"/>
    <w:rsid w:val="00C534E6"/>
    <w:rsid w:val="00C53A2A"/>
    <w:rsid w:val="00C53BDA"/>
    <w:rsid w:val="00C53C64"/>
    <w:rsid w:val="00C54358"/>
    <w:rsid w:val="00C5470E"/>
    <w:rsid w:val="00C554BC"/>
    <w:rsid w:val="00C5560C"/>
    <w:rsid w:val="00C55EFB"/>
    <w:rsid w:val="00C56019"/>
    <w:rsid w:val="00C56449"/>
    <w:rsid w:val="00C56585"/>
    <w:rsid w:val="00C56B3F"/>
    <w:rsid w:val="00C5736E"/>
    <w:rsid w:val="00C577E8"/>
    <w:rsid w:val="00C57B77"/>
    <w:rsid w:val="00C60D8B"/>
    <w:rsid w:val="00C62376"/>
    <w:rsid w:val="00C6249D"/>
    <w:rsid w:val="00C62DF5"/>
    <w:rsid w:val="00C631CB"/>
    <w:rsid w:val="00C6377B"/>
    <w:rsid w:val="00C63D74"/>
    <w:rsid w:val="00C645ED"/>
    <w:rsid w:val="00C64A79"/>
    <w:rsid w:val="00C64BE9"/>
    <w:rsid w:val="00C64E53"/>
    <w:rsid w:val="00C65492"/>
    <w:rsid w:val="00C65C1D"/>
    <w:rsid w:val="00C65C4C"/>
    <w:rsid w:val="00C65D61"/>
    <w:rsid w:val="00C66C83"/>
    <w:rsid w:val="00C67544"/>
    <w:rsid w:val="00C675F0"/>
    <w:rsid w:val="00C677AA"/>
    <w:rsid w:val="00C67C67"/>
    <w:rsid w:val="00C67D14"/>
    <w:rsid w:val="00C7022C"/>
    <w:rsid w:val="00C7024D"/>
    <w:rsid w:val="00C71032"/>
    <w:rsid w:val="00C71085"/>
    <w:rsid w:val="00C711FB"/>
    <w:rsid w:val="00C716E5"/>
    <w:rsid w:val="00C718DA"/>
    <w:rsid w:val="00C71A4F"/>
    <w:rsid w:val="00C71F2A"/>
    <w:rsid w:val="00C72045"/>
    <w:rsid w:val="00C7251C"/>
    <w:rsid w:val="00C72BAD"/>
    <w:rsid w:val="00C73066"/>
    <w:rsid w:val="00C747B3"/>
    <w:rsid w:val="00C76FB9"/>
    <w:rsid w:val="00C77033"/>
    <w:rsid w:val="00C770D8"/>
    <w:rsid w:val="00C773D9"/>
    <w:rsid w:val="00C80307"/>
    <w:rsid w:val="00C806DA"/>
    <w:rsid w:val="00C80ACE"/>
    <w:rsid w:val="00C80B0C"/>
    <w:rsid w:val="00C81162"/>
    <w:rsid w:val="00C812BF"/>
    <w:rsid w:val="00C81E51"/>
    <w:rsid w:val="00C8281D"/>
    <w:rsid w:val="00C82C02"/>
    <w:rsid w:val="00C82CB7"/>
    <w:rsid w:val="00C82D77"/>
    <w:rsid w:val="00C82EC7"/>
    <w:rsid w:val="00C830C5"/>
    <w:rsid w:val="00C83258"/>
    <w:rsid w:val="00C8352A"/>
    <w:rsid w:val="00C83666"/>
    <w:rsid w:val="00C8380E"/>
    <w:rsid w:val="00C843AC"/>
    <w:rsid w:val="00C849BF"/>
    <w:rsid w:val="00C84DF6"/>
    <w:rsid w:val="00C85046"/>
    <w:rsid w:val="00C866D2"/>
    <w:rsid w:val="00C870B5"/>
    <w:rsid w:val="00C874B3"/>
    <w:rsid w:val="00C87747"/>
    <w:rsid w:val="00C87C3C"/>
    <w:rsid w:val="00C907DF"/>
    <w:rsid w:val="00C9088F"/>
    <w:rsid w:val="00C91630"/>
    <w:rsid w:val="00C916D8"/>
    <w:rsid w:val="00C938C2"/>
    <w:rsid w:val="00C93E64"/>
    <w:rsid w:val="00C9404A"/>
    <w:rsid w:val="00C949E0"/>
    <w:rsid w:val="00C94A47"/>
    <w:rsid w:val="00C94F57"/>
    <w:rsid w:val="00C954E1"/>
    <w:rsid w:val="00C9558A"/>
    <w:rsid w:val="00C9569D"/>
    <w:rsid w:val="00C958A6"/>
    <w:rsid w:val="00C966EB"/>
    <w:rsid w:val="00C96D6C"/>
    <w:rsid w:val="00C96DC5"/>
    <w:rsid w:val="00C97026"/>
    <w:rsid w:val="00C970BE"/>
    <w:rsid w:val="00C975B3"/>
    <w:rsid w:val="00C9773B"/>
    <w:rsid w:val="00CA004F"/>
    <w:rsid w:val="00CA031D"/>
    <w:rsid w:val="00CA04B1"/>
    <w:rsid w:val="00CA05FB"/>
    <w:rsid w:val="00CA094B"/>
    <w:rsid w:val="00CA0D1D"/>
    <w:rsid w:val="00CA1971"/>
    <w:rsid w:val="00CA1B4F"/>
    <w:rsid w:val="00CA2DFC"/>
    <w:rsid w:val="00CA35C1"/>
    <w:rsid w:val="00CA3B23"/>
    <w:rsid w:val="00CA3D5A"/>
    <w:rsid w:val="00CA3F34"/>
    <w:rsid w:val="00CA4338"/>
    <w:rsid w:val="00CA4684"/>
    <w:rsid w:val="00CA485B"/>
    <w:rsid w:val="00CA48E1"/>
    <w:rsid w:val="00CA4EC9"/>
    <w:rsid w:val="00CA5120"/>
    <w:rsid w:val="00CA58C5"/>
    <w:rsid w:val="00CA5BD8"/>
    <w:rsid w:val="00CA6BB3"/>
    <w:rsid w:val="00CA7736"/>
    <w:rsid w:val="00CB00E5"/>
    <w:rsid w:val="00CB03D4"/>
    <w:rsid w:val="00CB0617"/>
    <w:rsid w:val="00CB137B"/>
    <w:rsid w:val="00CB15C3"/>
    <w:rsid w:val="00CB15CD"/>
    <w:rsid w:val="00CB178F"/>
    <w:rsid w:val="00CB18AF"/>
    <w:rsid w:val="00CB19EF"/>
    <w:rsid w:val="00CB1A2E"/>
    <w:rsid w:val="00CB1D11"/>
    <w:rsid w:val="00CB1E39"/>
    <w:rsid w:val="00CB2941"/>
    <w:rsid w:val="00CB341A"/>
    <w:rsid w:val="00CB3BD4"/>
    <w:rsid w:val="00CB4763"/>
    <w:rsid w:val="00CB5059"/>
    <w:rsid w:val="00CB59A6"/>
    <w:rsid w:val="00CB59F3"/>
    <w:rsid w:val="00CB5A35"/>
    <w:rsid w:val="00CB6770"/>
    <w:rsid w:val="00CB7640"/>
    <w:rsid w:val="00CB7848"/>
    <w:rsid w:val="00CB7D0F"/>
    <w:rsid w:val="00CC0261"/>
    <w:rsid w:val="00CC045B"/>
    <w:rsid w:val="00CC14AC"/>
    <w:rsid w:val="00CC1A96"/>
    <w:rsid w:val="00CC2158"/>
    <w:rsid w:val="00CC251B"/>
    <w:rsid w:val="00CC26C5"/>
    <w:rsid w:val="00CC35EF"/>
    <w:rsid w:val="00CC3EBF"/>
    <w:rsid w:val="00CC44A4"/>
    <w:rsid w:val="00CC4700"/>
    <w:rsid w:val="00CC4CBF"/>
    <w:rsid w:val="00CC4EB3"/>
    <w:rsid w:val="00CC5048"/>
    <w:rsid w:val="00CC5545"/>
    <w:rsid w:val="00CC5C9D"/>
    <w:rsid w:val="00CC61A5"/>
    <w:rsid w:val="00CC6246"/>
    <w:rsid w:val="00CC6280"/>
    <w:rsid w:val="00CD0232"/>
    <w:rsid w:val="00CD1621"/>
    <w:rsid w:val="00CD1A24"/>
    <w:rsid w:val="00CD1F60"/>
    <w:rsid w:val="00CD2D85"/>
    <w:rsid w:val="00CD3175"/>
    <w:rsid w:val="00CD3C88"/>
    <w:rsid w:val="00CD422E"/>
    <w:rsid w:val="00CD4B59"/>
    <w:rsid w:val="00CD53E2"/>
    <w:rsid w:val="00CD5662"/>
    <w:rsid w:val="00CD6859"/>
    <w:rsid w:val="00CD6EC5"/>
    <w:rsid w:val="00CD7293"/>
    <w:rsid w:val="00CD7700"/>
    <w:rsid w:val="00CD7D11"/>
    <w:rsid w:val="00CE0B23"/>
    <w:rsid w:val="00CE0CE1"/>
    <w:rsid w:val="00CE0D9A"/>
    <w:rsid w:val="00CE1764"/>
    <w:rsid w:val="00CE1D08"/>
    <w:rsid w:val="00CE2A44"/>
    <w:rsid w:val="00CE2DBC"/>
    <w:rsid w:val="00CE3A1A"/>
    <w:rsid w:val="00CE42CC"/>
    <w:rsid w:val="00CE5591"/>
    <w:rsid w:val="00CE5E46"/>
    <w:rsid w:val="00CE6D7B"/>
    <w:rsid w:val="00CE727C"/>
    <w:rsid w:val="00CE7287"/>
    <w:rsid w:val="00CE72EE"/>
    <w:rsid w:val="00CE7DBA"/>
    <w:rsid w:val="00CF0DD8"/>
    <w:rsid w:val="00CF10E3"/>
    <w:rsid w:val="00CF136E"/>
    <w:rsid w:val="00CF160C"/>
    <w:rsid w:val="00CF21C2"/>
    <w:rsid w:val="00CF262A"/>
    <w:rsid w:val="00CF272F"/>
    <w:rsid w:val="00CF335D"/>
    <w:rsid w:val="00CF350E"/>
    <w:rsid w:val="00CF37FA"/>
    <w:rsid w:val="00CF3C6B"/>
    <w:rsid w:val="00CF3D29"/>
    <w:rsid w:val="00CF3E0F"/>
    <w:rsid w:val="00CF49CC"/>
    <w:rsid w:val="00CF4EE1"/>
    <w:rsid w:val="00CF564C"/>
    <w:rsid w:val="00CF579E"/>
    <w:rsid w:val="00CF6265"/>
    <w:rsid w:val="00CF629A"/>
    <w:rsid w:val="00CF6CCC"/>
    <w:rsid w:val="00CF6EC7"/>
    <w:rsid w:val="00CF7C03"/>
    <w:rsid w:val="00D00894"/>
    <w:rsid w:val="00D01512"/>
    <w:rsid w:val="00D01645"/>
    <w:rsid w:val="00D02A92"/>
    <w:rsid w:val="00D030C9"/>
    <w:rsid w:val="00D032C8"/>
    <w:rsid w:val="00D03A27"/>
    <w:rsid w:val="00D04103"/>
    <w:rsid w:val="00D046E7"/>
    <w:rsid w:val="00D04BC2"/>
    <w:rsid w:val="00D04F0B"/>
    <w:rsid w:val="00D0511F"/>
    <w:rsid w:val="00D0536C"/>
    <w:rsid w:val="00D053C5"/>
    <w:rsid w:val="00D0557B"/>
    <w:rsid w:val="00D05F04"/>
    <w:rsid w:val="00D06475"/>
    <w:rsid w:val="00D06571"/>
    <w:rsid w:val="00D066C3"/>
    <w:rsid w:val="00D06FF5"/>
    <w:rsid w:val="00D07440"/>
    <w:rsid w:val="00D07873"/>
    <w:rsid w:val="00D10E3C"/>
    <w:rsid w:val="00D117D3"/>
    <w:rsid w:val="00D11C69"/>
    <w:rsid w:val="00D120AF"/>
    <w:rsid w:val="00D129DE"/>
    <w:rsid w:val="00D134C7"/>
    <w:rsid w:val="00D1358C"/>
    <w:rsid w:val="00D140CA"/>
    <w:rsid w:val="00D14505"/>
    <w:rsid w:val="00D1463A"/>
    <w:rsid w:val="00D14C8F"/>
    <w:rsid w:val="00D15045"/>
    <w:rsid w:val="00D1553E"/>
    <w:rsid w:val="00D157F1"/>
    <w:rsid w:val="00D15F11"/>
    <w:rsid w:val="00D16121"/>
    <w:rsid w:val="00D16362"/>
    <w:rsid w:val="00D1661F"/>
    <w:rsid w:val="00D16793"/>
    <w:rsid w:val="00D16C29"/>
    <w:rsid w:val="00D17685"/>
    <w:rsid w:val="00D17977"/>
    <w:rsid w:val="00D20222"/>
    <w:rsid w:val="00D204AF"/>
    <w:rsid w:val="00D20E5A"/>
    <w:rsid w:val="00D21077"/>
    <w:rsid w:val="00D21BA7"/>
    <w:rsid w:val="00D226FE"/>
    <w:rsid w:val="00D22F63"/>
    <w:rsid w:val="00D238DF"/>
    <w:rsid w:val="00D23C72"/>
    <w:rsid w:val="00D23DFA"/>
    <w:rsid w:val="00D23E07"/>
    <w:rsid w:val="00D24391"/>
    <w:rsid w:val="00D243E2"/>
    <w:rsid w:val="00D24552"/>
    <w:rsid w:val="00D24ED0"/>
    <w:rsid w:val="00D24FF5"/>
    <w:rsid w:val="00D252C9"/>
    <w:rsid w:val="00D26A78"/>
    <w:rsid w:val="00D26EE3"/>
    <w:rsid w:val="00D27032"/>
    <w:rsid w:val="00D270FA"/>
    <w:rsid w:val="00D2777A"/>
    <w:rsid w:val="00D27977"/>
    <w:rsid w:val="00D30759"/>
    <w:rsid w:val="00D30851"/>
    <w:rsid w:val="00D30DD5"/>
    <w:rsid w:val="00D30FCB"/>
    <w:rsid w:val="00D31D18"/>
    <w:rsid w:val="00D32355"/>
    <w:rsid w:val="00D32B8D"/>
    <w:rsid w:val="00D32BC5"/>
    <w:rsid w:val="00D32DDF"/>
    <w:rsid w:val="00D33389"/>
    <w:rsid w:val="00D33B10"/>
    <w:rsid w:val="00D3440B"/>
    <w:rsid w:val="00D36206"/>
    <w:rsid w:val="00D365BE"/>
    <w:rsid w:val="00D369D0"/>
    <w:rsid w:val="00D36E93"/>
    <w:rsid w:val="00D3700C"/>
    <w:rsid w:val="00D374C3"/>
    <w:rsid w:val="00D376D6"/>
    <w:rsid w:val="00D400DA"/>
    <w:rsid w:val="00D40E58"/>
    <w:rsid w:val="00D41343"/>
    <w:rsid w:val="00D41731"/>
    <w:rsid w:val="00D41940"/>
    <w:rsid w:val="00D41A32"/>
    <w:rsid w:val="00D42800"/>
    <w:rsid w:val="00D43DE9"/>
    <w:rsid w:val="00D44A76"/>
    <w:rsid w:val="00D44E55"/>
    <w:rsid w:val="00D45640"/>
    <w:rsid w:val="00D4607C"/>
    <w:rsid w:val="00D4706C"/>
    <w:rsid w:val="00D4710D"/>
    <w:rsid w:val="00D4724B"/>
    <w:rsid w:val="00D473F0"/>
    <w:rsid w:val="00D47D7F"/>
    <w:rsid w:val="00D500DB"/>
    <w:rsid w:val="00D501C3"/>
    <w:rsid w:val="00D50770"/>
    <w:rsid w:val="00D50FE6"/>
    <w:rsid w:val="00D512ED"/>
    <w:rsid w:val="00D516BB"/>
    <w:rsid w:val="00D5229F"/>
    <w:rsid w:val="00D52C13"/>
    <w:rsid w:val="00D5302A"/>
    <w:rsid w:val="00D5370A"/>
    <w:rsid w:val="00D54CFA"/>
    <w:rsid w:val="00D553AD"/>
    <w:rsid w:val="00D554E0"/>
    <w:rsid w:val="00D55654"/>
    <w:rsid w:val="00D55723"/>
    <w:rsid w:val="00D55A15"/>
    <w:rsid w:val="00D55BD4"/>
    <w:rsid w:val="00D565FE"/>
    <w:rsid w:val="00D573CF"/>
    <w:rsid w:val="00D573DD"/>
    <w:rsid w:val="00D57461"/>
    <w:rsid w:val="00D57D80"/>
    <w:rsid w:val="00D57F28"/>
    <w:rsid w:val="00D603BF"/>
    <w:rsid w:val="00D60C15"/>
    <w:rsid w:val="00D60C45"/>
    <w:rsid w:val="00D60DEA"/>
    <w:rsid w:val="00D61EDC"/>
    <w:rsid w:val="00D62043"/>
    <w:rsid w:val="00D62282"/>
    <w:rsid w:val="00D6279B"/>
    <w:rsid w:val="00D638E0"/>
    <w:rsid w:val="00D63AF4"/>
    <w:rsid w:val="00D64C0A"/>
    <w:rsid w:val="00D653B1"/>
    <w:rsid w:val="00D656A2"/>
    <w:rsid w:val="00D657AE"/>
    <w:rsid w:val="00D65B9A"/>
    <w:rsid w:val="00D66225"/>
    <w:rsid w:val="00D67012"/>
    <w:rsid w:val="00D67992"/>
    <w:rsid w:val="00D71129"/>
    <w:rsid w:val="00D711A3"/>
    <w:rsid w:val="00D712AE"/>
    <w:rsid w:val="00D71371"/>
    <w:rsid w:val="00D713EB"/>
    <w:rsid w:val="00D715BE"/>
    <w:rsid w:val="00D71604"/>
    <w:rsid w:val="00D71628"/>
    <w:rsid w:val="00D72569"/>
    <w:rsid w:val="00D73C59"/>
    <w:rsid w:val="00D7403C"/>
    <w:rsid w:val="00D740A5"/>
    <w:rsid w:val="00D74AE1"/>
    <w:rsid w:val="00D7509E"/>
    <w:rsid w:val="00D75844"/>
    <w:rsid w:val="00D75C84"/>
    <w:rsid w:val="00D75D42"/>
    <w:rsid w:val="00D76E5C"/>
    <w:rsid w:val="00D77207"/>
    <w:rsid w:val="00D772AF"/>
    <w:rsid w:val="00D77600"/>
    <w:rsid w:val="00D80A15"/>
    <w:rsid w:val="00D80AE0"/>
    <w:rsid w:val="00D80B20"/>
    <w:rsid w:val="00D810DF"/>
    <w:rsid w:val="00D8125C"/>
    <w:rsid w:val="00D81B4C"/>
    <w:rsid w:val="00D82C86"/>
    <w:rsid w:val="00D83071"/>
    <w:rsid w:val="00D836E5"/>
    <w:rsid w:val="00D8421F"/>
    <w:rsid w:val="00D845A3"/>
    <w:rsid w:val="00D84BE1"/>
    <w:rsid w:val="00D8544B"/>
    <w:rsid w:val="00D86091"/>
    <w:rsid w:val="00D865A8"/>
    <w:rsid w:val="00D86FFF"/>
    <w:rsid w:val="00D87F8E"/>
    <w:rsid w:val="00D9012A"/>
    <w:rsid w:val="00D90F53"/>
    <w:rsid w:val="00D9285A"/>
    <w:rsid w:val="00D92C2D"/>
    <w:rsid w:val="00D9361E"/>
    <w:rsid w:val="00D93787"/>
    <w:rsid w:val="00D93B67"/>
    <w:rsid w:val="00D94955"/>
    <w:rsid w:val="00D94F38"/>
    <w:rsid w:val="00D95815"/>
    <w:rsid w:val="00D95B7E"/>
    <w:rsid w:val="00D9605E"/>
    <w:rsid w:val="00D96F52"/>
    <w:rsid w:val="00D96F91"/>
    <w:rsid w:val="00D97B69"/>
    <w:rsid w:val="00DA005A"/>
    <w:rsid w:val="00DA1027"/>
    <w:rsid w:val="00DA112B"/>
    <w:rsid w:val="00DA114A"/>
    <w:rsid w:val="00DA17CD"/>
    <w:rsid w:val="00DA1DC3"/>
    <w:rsid w:val="00DA1F96"/>
    <w:rsid w:val="00DA2164"/>
    <w:rsid w:val="00DA2488"/>
    <w:rsid w:val="00DA254B"/>
    <w:rsid w:val="00DA2C7E"/>
    <w:rsid w:val="00DA2CBE"/>
    <w:rsid w:val="00DA2DB3"/>
    <w:rsid w:val="00DA3138"/>
    <w:rsid w:val="00DA332B"/>
    <w:rsid w:val="00DA3A3C"/>
    <w:rsid w:val="00DA3A5C"/>
    <w:rsid w:val="00DA40B4"/>
    <w:rsid w:val="00DA4823"/>
    <w:rsid w:val="00DA4CDA"/>
    <w:rsid w:val="00DA4EC6"/>
    <w:rsid w:val="00DA58F7"/>
    <w:rsid w:val="00DA5AC3"/>
    <w:rsid w:val="00DA64AD"/>
    <w:rsid w:val="00DA6D42"/>
    <w:rsid w:val="00DA761C"/>
    <w:rsid w:val="00DA7825"/>
    <w:rsid w:val="00DA78AB"/>
    <w:rsid w:val="00DB135E"/>
    <w:rsid w:val="00DB23D8"/>
    <w:rsid w:val="00DB25B3"/>
    <w:rsid w:val="00DB2CA0"/>
    <w:rsid w:val="00DB3AED"/>
    <w:rsid w:val="00DB5007"/>
    <w:rsid w:val="00DB51ED"/>
    <w:rsid w:val="00DB51F5"/>
    <w:rsid w:val="00DB759A"/>
    <w:rsid w:val="00DB75B4"/>
    <w:rsid w:val="00DB7C27"/>
    <w:rsid w:val="00DC0767"/>
    <w:rsid w:val="00DC0969"/>
    <w:rsid w:val="00DC0C43"/>
    <w:rsid w:val="00DC1C10"/>
    <w:rsid w:val="00DC1F0B"/>
    <w:rsid w:val="00DC22E7"/>
    <w:rsid w:val="00DC23C3"/>
    <w:rsid w:val="00DC2EF4"/>
    <w:rsid w:val="00DC3010"/>
    <w:rsid w:val="00DC3C13"/>
    <w:rsid w:val="00DC3EA5"/>
    <w:rsid w:val="00DC40EB"/>
    <w:rsid w:val="00DC4433"/>
    <w:rsid w:val="00DC4C80"/>
    <w:rsid w:val="00DC53E8"/>
    <w:rsid w:val="00DC5F83"/>
    <w:rsid w:val="00DC6214"/>
    <w:rsid w:val="00DC63A7"/>
    <w:rsid w:val="00DC6F05"/>
    <w:rsid w:val="00DC6F92"/>
    <w:rsid w:val="00DC7273"/>
    <w:rsid w:val="00DC76E2"/>
    <w:rsid w:val="00DC7EA5"/>
    <w:rsid w:val="00DD0213"/>
    <w:rsid w:val="00DD033F"/>
    <w:rsid w:val="00DD0BC5"/>
    <w:rsid w:val="00DD1205"/>
    <w:rsid w:val="00DD145C"/>
    <w:rsid w:val="00DD19C6"/>
    <w:rsid w:val="00DD2780"/>
    <w:rsid w:val="00DD391C"/>
    <w:rsid w:val="00DD461A"/>
    <w:rsid w:val="00DD52EC"/>
    <w:rsid w:val="00DD5901"/>
    <w:rsid w:val="00DD5A82"/>
    <w:rsid w:val="00DD5AF6"/>
    <w:rsid w:val="00DD60F2"/>
    <w:rsid w:val="00DD62A2"/>
    <w:rsid w:val="00DD6517"/>
    <w:rsid w:val="00DD6906"/>
    <w:rsid w:val="00DD69FB"/>
    <w:rsid w:val="00DD6FEC"/>
    <w:rsid w:val="00DD7E9B"/>
    <w:rsid w:val="00DE0893"/>
    <w:rsid w:val="00DE0BE2"/>
    <w:rsid w:val="00DE0D6F"/>
    <w:rsid w:val="00DE134D"/>
    <w:rsid w:val="00DE2814"/>
    <w:rsid w:val="00DE29B8"/>
    <w:rsid w:val="00DE2C97"/>
    <w:rsid w:val="00DE2CAB"/>
    <w:rsid w:val="00DE2E58"/>
    <w:rsid w:val="00DE3FCD"/>
    <w:rsid w:val="00DE407B"/>
    <w:rsid w:val="00DE5656"/>
    <w:rsid w:val="00DE56F9"/>
    <w:rsid w:val="00DE586D"/>
    <w:rsid w:val="00DE6796"/>
    <w:rsid w:val="00DE75F9"/>
    <w:rsid w:val="00DE7B3A"/>
    <w:rsid w:val="00DF0B8A"/>
    <w:rsid w:val="00DF0CF9"/>
    <w:rsid w:val="00DF1371"/>
    <w:rsid w:val="00DF14A6"/>
    <w:rsid w:val="00DF1DDA"/>
    <w:rsid w:val="00DF1F0B"/>
    <w:rsid w:val="00DF2081"/>
    <w:rsid w:val="00DF2309"/>
    <w:rsid w:val="00DF3CC5"/>
    <w:rsid w:val="00DF41B2"/>
    <w:rsid w:val="00DF47BB"/>
    <w:rsid w:val="00DF47E2"/>
    <w:rsid w:val="00DF4C45"/>
    <w:rsid w:val="00DF552C"/>
    <w:rsid w:val="00DF648B"/>
    <w:rsid w:val="00DF68E0"/>
    <w:rsid w:val="00DF76E9"/>
    <w:rsid w:val="00DF7C68"/>
    <w:rsid w:val="00E003BF"/>
    <w:rsid w:val="00E0086F"/>
    <w:rsid w:val="00E00BCA"/>
    <w:rsid w:val="00E01272"/>
    <w:rsid w:val="00E01372"/>
    <w:rsid w:val="00E0226F"/>
    <w:rsid w:val="00E0238A"/>
    <w:rsid w:val="00E025BD"/>
    <w:rsid w:val="00E02A51"/>
    <w:rsid w:val="00E02B4A"/>
    <w:rsid w:val="00E03067"/>
    <w:rsid w:val="00E03814"/>
    <w:rsid w:val="00E03846"/>
    <w:rsid w:val="00E03A07"/>
    <w:rsid w:val="00E03AF1"/>
    <w:rsid w:val="00E03B42"/>
    <w:rsid w:val="00E04EC4"/>
    <w:rsid w:val="00E05061"/>
    <w:rsid w:val="00E0523F"/>
    <w:rsid w:val="00E05F29"/>
    <w:rsid w:val="00E06060"/>
    <w:rsid w:val="00E06421"/>
    <w:rsid w:val="00E07048"/>
    <w:rsid w:val="00E07396"/>
    <w:rsid w:val="00E07C91"/>
    <w:rsid w:val="00E1020E"/>
    <w:rsid w:val="00E105D9"/>
    <w:rsid w:val="00E10881"/>
    <w:rsid w:val="00E10BDB"/>
    <w:rsid w:val="00E12366"/>
    <w:rsid w:val="00E12AB4"/>
    <w:rsid w:val="00E12E1E"/>
    <w:rsid w:val="00E12E6B"/>
    <w:rsid w:val="00E13A4C"/>
    <w:rsid w:val="00E13CC9"/>
    <w:rsid w:val="00E14353"/>
    <w:rsid w:val="00E14842"/>
    <w:rsid w:val="00E14907"/>
    <w:rsid w:val="00E14AC6"/>
    <w:rsid w:val="00E1529A"/>
    <w:rsid w:val="00E15E8E"/>
    <w:rsid w:val="00E163EA"/>
    <w:rsid w:val="00E16647"/>
    <w:rsid w:val="00E16EB4"/>
    <w:rsid w:val="00E16FAD"/>
    <w:rsid w:val="00E1702F"/>
    <w:rsid w:val="00E1774E"/>
    <w:rsid w:val="00E17888"/>
    <w:rsid w:val="00E17A28"/>
    <w:rsid w:val="00E17C18"/>
    <w:rsid w:val="00E17C69"/>
    <w:rsid w:val="00E201F1"/>
    <w:rsid w:val="00E202B9"/>
    <w:rsid w:val="00E208B4"/>
    <w:rsid w:val="00E20A7D"/>
    <w:rsid w:val="00E20DB4"/>
    <w:rsid w:val="00E20FE3"/>
    <w:rsid w:val="00E215DA"/>
    <w:rsid w:val="00E21A27"/>
    <w:rsid w:val="00E21C1E"/>
    <w:rsid w:val="00E22023"/>
    <w:rsid w:val="00E2247A"/>
    <w:rsid w:val="00E22643"/>
    <w:rsid w:val="00E22E81"/>
    <w:rsid w:val="00E22EE5"/>
    <w:rsid w:val="00E23975"/>
    <w:rsid w:val="00E23D64"/>
    <w:rsid w:val="00E23DD8"/>
    <w:rsid w:val="00E24132"/>
    <w:rsid w:val="00E243DA"/>
    <w:rsid w:val="00E24CC4"/>
    <w:rsid w:val="00E24DCE"/>
    <w:rsid w:val="00E252B6"/>
    <w:rsid w:val="00E25623"/>
    <w:rsid w:val="00E25B5F"/>
    <w:rsid w:val="00E25E80"/>
    <w:rsid w:val="00E26176"/>
    <w:rsid w:val="00E264E2"/>
    <w:rsid w:val="00E26F5D"/>
    <w:rsid w:val="00E27959"/>
    <w:rsid w:val="00E27A2F"/>
    <w:rsid w:val="00E27E9C"/>
    <w:rsid w:val="00E30A98"/>
    <w:rsid w:val="00E31421"/>
    <w:rsid w:val="00E314F5"/>
    <w:rsid w:val="00E3192D"/>
    <w:rsid w:val="00E31F8D"/>
    <w:rsid w:val="00E32313"/>
    <w:rsid w:val="00E32B89"/>
    <w:rsid w:val="00E32BC8"/>
    <w:rsid w:val="00E32BCE"/>
    <w:rsid w:val="00E332DD"/>
    <w:rsid w:val="00E333BC"/>
    <w:rsid w:val="00E33556"/>
    <w:rsid w:val="00E358DA"/>
    <w:rsid w:val="00E3688D"/>
    <w:rsid w:val="00E4057B"/>
    <w:rsid w:val="00E40FD7"/>
    <w:rsid w:val="00E4287B"/>
    <w:rsid w:val="00E429E2"/>
    <w:rsid w:val="00E42A94"/>
    <w:rsid w:val="00E42F9A"/>
    <w:rsid w:val="00E437B1"/>
    <w:rsid w:val="00E437C3"/>
    <w:rsid w:val="00E43B9A"/>
    <w:rsid w:val="00E43F18"/>
    <w:rsid w:val="00E4437D"/>
    <w:rsid w:val="00E443B7"/>
    <w:rsid w:val="00E44665"/>
    <w:rsid w:val="00E458BF"/>
    <w:rsid w:val="00E4627A"/>
    <w:rsid w:val="00E46280"/>
    <w:rsid w:val="00E46555"/>
    <w:rsid w:val="00E47285"/>
    <w:rsid w:val="00E5035D"/>
    <w:rsid w:val="00E50DB0"/>
    <w:rsid w:val="00E512B7"/>
    <w:rsid w:val="00E51338"/>
    <w:rsid w:val="00E51B39"/>
    <w:rsid w:val="00E51BE2"/>
    <w:rsid w:val="00E51C33"/>
    <w:rsid w:val="00E5239D"/>
    <w:rsid w:val="00E53EB8"/>
    <w:rsid w:val="00E54676"/>
    <w:rsid w:val="00E54924"/>
    <w:rsid w:val="00E54AD5"/>
    <w:rsid w:val="00E54BFB"/>
    <w:rsid w:val="00E54CD7"/>
    <w:rsid w:val="00E56682"/>
    <w:rsid w:val="00E56B36"/>
    <w:rsid w:val="00E56CFD"/>
    <w:rsid w:val="00E57370"/>
    <w:rsid w:val="00E57583"/>
    <w:rsid w:val="00E578F7"/>
    <w:rsid w:val="00E57AAB"/>
    <w:rsid w:val="00E60093"/>
    <w:rsid w:val="00E60939"/>
    <w:rsid w:val="00E60ECF"/>
    <w:rsid w:val="00E624E1"/>
    <w:rsid w:val="00E62A0E"/>
    <w:rsid w:val="00E63A9E"/>
    <w:rsid w:val="00E64213"/>
    <w:rsid w:val="00E642F8"/>
    <w:rsid w:val="00E653EB"/>
    <w:rsid w:val="00E66F7A"/>
    <w:rsid w:val="00E673EC"/>
    <w:rsid w:val="00E67746"/>
    <w:rsid w:val="00E677B6"/>
    <w:rsid w:val="00E67E23"/>
    <w:rsid w:val="00E706E7"/>
    <w:rsid w:val="00E70E5F"/>
    <w:rsid w:val="00E71066"/>
    <w:rsid w:val="00E722ED"/>
    <w:rsid w:val="00E72752"/>
    <w:rsid w:val="00E72C4D"/>
    <w:rsid w:val="00E72ED4"/>
    <w:rsid w:val="00E73095"/>
    <w:rsid w:val="00E75305"/>
    <w:rsid w:val="00E7582A"/>
    <w:rsid w:val="00E75A38"/>
    <w:rsid w:val="00E76031"/>
    <w:rsid w:val="00E76B2C"/>
    <w:rsid w:val="00E76F02"/>
    <w:rsid w:val="00E7740C"/>
    <w:rsid w:val="00E77587"/>
    <w:rsid w:val="00E77EC3"/>
    <w:rsid w:val="00E80F6C"/>
    <w:rsid w:val="00E818AD"/>
    <w:rsid w:val="00E821DD"/>
    <w:rsid w:val="00E82EEF"/>
    <w:rsid w:val="00E83301"/>
    <w:rsid w:val="00E8366B"/>
    <w:rsid w:val="00E83833"/>
    <w:rsid w:val="00E84229"/>
    <w:rsid w:val="00E843F0"/>
    <w:rsid w:val="00E84427"/>
    <w:rsid w:val="00E848B5"/>
    <w:rsid w:val="00E84965"/>
    <w:rsid w:val="00E85DF7"/>
    <w:rsid w:val="00E86147"/>
    <w:rsid w:val="00E8696E"/>
    <w:rsid w:val="00E8701E"/>
    <w:rsid w:val="00E877DC"/>
    <w:rsid w:val="00E87D58"/>
    <w:rsid w:val="00E90B2B"/>
    <w:rsid w:val="00E90E4E"/>
    <w:rsid w:val="00E923A6"/>
    <w:rsid w:val="00E92E1C"/>
    <w:rsid w:val="00E92F80"/>
    <w:rsid w:val="00E9301D"/>
    <w:rsid w:val="00E937CA"/>
    <w:rsid w:val="00E9391E"/>
    <w:rsid w:val="00E93BCF"/>
    <w:rsid w:val="00E9402D"/>
    <w:rsid w:val="00E945FE"/>
    <w:rsid w:val="00E94791"/>
    <w:rsid w:val="00E94CEE"/>
    <w:rsid w:val="00E951CA"/>
    <w:rsid w:val="00E9624C"/>
    <w:rsid w:val="00E962D8"/>
    <w:rsid w:val="00E96B9F"/>
    <w:rsid w:val="00E97216"/>
    <w:rsid w:val="00E97C6A"/>
    <w:rsid w:val="00EA015B"/>
    <w:rsid w:val="00EA03CF"/>
    <w:rsid w:val="00EA0CF3"/>
    <w:rsid w:val="00EA1052"/>
    <w:rsid w:val="00EA11B5"/>
    <w:rsid w:val="00EA1BA0"/>
    <w:rsid w:val="00EA218F"/>
    <w:rsid w:val="00EA23CD"/>
    <w:rsid w:val="00EA299F"/>
    <w:rsid w:val="00EA2CCB"/>
    <w:rsid w:val="00EA3280"/>
    <w:rsid w:val="00EA35B4"/>
    <w:rsid w:val="00EA38BB"/>
    <w:rsid w:val="00EA3A63"/>
    <w:rsid w:val="00EA3B55"/>
    <w:rsid w:val="00EA3D68"/>
    <w:rsid w:val="00EA3D7C"/>
    <w:rsid w:val="00EA3DAE"/>
    <w:rsid w:val="00EA4067"/>
    <w:rsid w:val="00EA4364"/>
    <w:rsid w:val="00EA43B8"/>
    <w:rsid w:val="00EA468D"/>
    <w:rsid w:val="00EA4F29"/>
    <w:rsid w:val="00EA5B27"/>
    <w:rsid w:val="00EA5F83"/>
    <w:rsid w:val="00EA6F5E"/>
    <w:rsid w:val="00EA6F9D"/>
    <w:rsid w:val="00EA7648"/>
    <w:rsid w:val="00EA7841"/>
    <w:rsid w:val="00EA7B1B"/>
    <w:rsid w:val="00EA7C80"/>
    <w:rsid w:val="00EA7CC8"/>
    <w:rsid w:val="00EB1270"/>
    <w:rsid w:val="00EB144C"/>
    <w:rsid w:val="00EB1BBB"/>
    <w:rsid w:val="00EB2233"/>
    <w:rsid w:val="00EB2273"/>
    <w:rsid w:val="00EB379A"/>
    <w:rsid w:val="00EB4ACE"/>
    <w:rsid w:val="00EB4C48"/>
    <w:rsid w:val="00EB527C"/>
    <w:rsid w:val="00EB54E3"/>
    <w:rsid w:val="00EB5C6D"/>
    <w:rsid w:val="00EB6093"/>
    <w:rsid w:val="00EB6507"/>
    <w:rsid w:val="00EB696B"/>
    <w:rsid w:val="00EB69D6"/>
    <w:rsid w:val="00EB6B20"/>
    <w:rsid w:val="00EB6C62"/>
    <w:rsid w:val="00EB6DF7"/>
    <w:rsid w:val="00EB6F3C"/>
    <w:rsid w:val="00EB722B"/>
    <w:rsid w:val="00EB7F80"/>
    <w:rsid w:val="00EC0A6E"/>
    <w:rsid w:val="00EC0CF9"/>
    <w:rsid w:val="00EC0DF3"/>
    <w:rsid w:val="00EC10E7"/>
    <w:rsid w:val="00EC1515"/>
    <w:rsid w:val="00EC1A8A"/>
    <w:rsid w:val="00EC1B95"/>
    <w:rsid w:val="00EC1E2C"/>
    <w:rsid w:val="00EC254E"/>
    <w:rsid w:val="00EC259B"/>
    <w:rsid w:val="00EC2B9A"/>
    <w:rsid w:val="00EC2DBA"/>
    <w:rsid w:val="00EC35BE"/>
    <w:rsid w:val="00EC3723"/>
    <w:rsid w:val="00EC49F1"/>
    <w:rsid w:val="00EC4A36"/>
    <w:rsid w:val="00EC4A58"/>
    <w:rsid w:val="00EC568A"/>
    <w:rsid w:val="00EC6BA1"/>
    <w:rsid w:val="00EC7170"/>
    <w:rsid w:val="00EC73BB"/>
    <w:rsid w:val="00EC7BDC"/>
    <w:rsid w:val="00EC7C87"/>
    <w:rsid w:val="00ED030E"/>
    <w:rsid w:val="00ED0348"/>
    <w:rsid w:val="00ED05AF"/>
    <w:rsid w:val="00ED1BAC"/>
    <w:rsid w:val="00ED2249"/>
    <w:rsid w:val="00ED2672"/>
    <w:rsid w:val="00ED288D"/>
    <w:rsid w:val="00ED2A8D"/>
    <w:rsid w:val="00ED355E"/>
    <w:rsid w:val="00ED3784"/>
    <w:rsid w:val="00ED3D95"/>
    <w:rsid w:val="00ED4450"/>
    <w:rsid w:val="00ED46C6"/>
    <w:rsid w:val="00ED4ADD"/>
    <w:rsid w:val="00ED55E5"/>
    <w:rsid w:val="00ED62C9"/>
    <w:rsid w:val="00ED67D4"/>
    <w:rsid w:val="00ED6A29"/>
    <w:rsid w:val="00ED6BBC"/>
    <w:rsid w:val="00ED6C9B"/>
    <w:rsid w:val="00ED7488"/>
    <w:rsid w:val="00ED7581"/>
    <w:rsid w:val="00ED7692"/>
    <w:rsid w:val="00EE0BDA"/>
    <w:rsid w:val="00EE0FC3"/>
    <w:rsid w:val="00EE136A"/>
    <w:rsid w:val="00EE194A"/>
    <w:rsid w:val="00EE1ED4"/>
    <w:rsid w:val="00EE238A"/>
    <w:rsid w:val="00EE2455"/>
    <w:rsid w:val="00EE26F8"/>
    <w:rsid w:val="00EE2F17"/>
    <w:rsid w:val="00EE327A"/>
    <w:rsid w:val="00EE3664"/>
    <w:rsid w:val="00EE3BC7"/>
    <w:rsid w:val="00EE498C"/>
    <w:rsid w:val="00EE51CB"/>
    <w:rsid w:val="00EE51DC"/>
    <w:rsid w:val="00EE520E"/>
    <w:rsid w:val="00EE54CB"/>
    <w:rsid w:val="00EE5A68"/>
    <w:rsid w:val="00EE6424"/>
    <w:rsid w:val="00EE658E"/>
    <w:rsid w:val="00EE69EC"/>
    <w:rsid w:val="00EE7025"/>
    <w:rsid w:val="00EE706C"/>
    <w:rsid w:val="00EE7B81"/>
    <w:rsid w:val="00EF06C2"/>
    <w:rsid w:val="00EF0929"/>
    <w:rsid w:val="00EF09DB"/>
    <w:rsid w:val="00EF0E55"/>
    <w:rsid w:val="00EF182C"/>
    <w:rsid w:val="00EF1890"/>
    <w:rsid w:val="00EF1922"/>
    <w:rsid w:val="00EF1936"/>
    <w:rsid w:val="00EF1C54"/>
    <w:rsid w:val="00EF1D2E"/>
    <w:rsid w:val="00EF263D"/>
    <w:rsid w:val="00EF2947"/>
    <w:rsid w:val="00EF3296"/>
    <w:rsid w:val="00EF36B6"/>
    <w:rsid w:val="00EF385A"/>
    <w:rsid w:val="00EF404B"/>
    <w:rsid w:val="00EF46CB"/>
    <w:rsid w:val="00EF598E"/>
    <w:rsid w:val="00EF5A22"/>
    <w:rsid w:val="00EF5A8E"/>
    <w:rsid w:val="00EF5B78"/>
    <w:rsid w:val="00EF5C51"/>
    <w:rsid w:val="00EF71DB"/>
    <w:rsid w:val="00EF776A"/>
    <w:rsid w:val="00EF7892"/>
    <w:rsid w:val="00F00376"/>
    <w:rsid w:val="00F0087B"/>
    <w:rsid w:val="00F012CC"/>
    <w:rsid w:val="00F01C0E"/>
    <w:rsid w:val="00F01F0C"/>
    <w:rsid w:val="00F02A5A"/>
    <w:rsid w:val="00F02C10"/>
    <w:rsid w:val="00F02D10"/>
    <w:rsid w:val="00F035F4"/>
    <w:rsid w:val="00F038E8"/>
    <w:rsid w:val="00F03A92"/>
    <w:rsid w:val="00F04197"/>
    <w:rsid w:val="00F0485F"/>
    <w:rsid w:val="00F057C2"/>
    <w:rsid w:val="00F06D44"/>
    <w:rsid w:val="00F06ECB"/>
    <w:rsid w:val="00F072BD"/>
    <w:rsid w:val="00F103D2"/>
    <w:rsid w:val="00F106C3"/>
    <w:rsid w:val="00F1078D"/>
    <w:rsid w:val="00F107E7"/>
    <w:rsid w:val="00F10B8F"/>
    <w:rsid w:val="00F10F93"/>
    <w:rsid w:val="00F1102F"/>
    <w:rsid w:val="00F11368"/>
    <w:rsid w:val="00F11764"/>
    <w:rsid w:val="00F118B2"/>
    <w:rsid w:val="00F12388"/>
    <w:rsid w:val="00F1246E"/>
    <w:rsid w:val="00F12629"/>
    <w:rsid w:val="00F128C8"/>
    <w:rsid w:val="00F12A49"/>
    <w:rsid w:val="00F137B1"/>
    <w:rsid w:val="00F147B2"/>
    <w:rsid w:val="00F1531E"/>
    <w:rsid w:val="00F157E2"/>
    <w:rsid w:val="00F160C1"/>
    <w:rsid w:val="00F16724"/>
    <w:rsid w:val="00F16C7D"/>
    <w:rsid w:val="00F200EB"/>
    <w:rsid w:val="00F20264"/>
    <w:rsid w:val="00F20D28"/>
    <w:rsid w:val="00F20DBA"/>
    <w:rsid w:val="00F210F9"/>
    <w:rsid w:val="00F21960"/>
    <w:rsid w:val="00F21B7F"/>
    <w:rsid w:val="00F21C33"/>
    <w:rsid w:val="00F22682"/>
    <w:rsid w:val="00F22BCE"/>
    <w:rsid w:val="00F22CAC"/>
    <w:rsid w:val="00F23006"/>
    <w:rsid w:val="00F23723"/>
    <w:rsid w:val="00F23AB4"/>
    <w:rsid w:val="00F23F38"/>
    <w:rsid w:val="00F23FA3"/>
    <w:rsid w:val="00F24970"/>
    <w:rsid w:val="00F24ED0"/>
    <w:rsid w:val="00F259E2"/>
    <w:rsid w:val="00F25C74"/>
    <w:rsid w:val="00F262F1"/>
    <w:rsid w:val="00F265CE"/>
    <w:rsid w:val="00F26721"/>
    <w:rsid w:val="00F267DB"/>
    <w:rsid w:val="00F26D08"/>
    <w:rsid w:val="00F26EF8"/>
    <w:rsid w:val="00F27EE4"/>
    <w:rsid w:val="00F30739"/>
    <w:rsid w:val="00F30A9D"/>
    <w:rsid w:val="00F30E2B"/>
    <w:rsid w:val="00F315D5"/>
    <w:rsid w:val="00F31EAB"/>
    <w:rsid w:val="00F32190"/>
    <w:rsid w:val="00F324E4"/>
    <w:rsid w:val="00F32C2B"/>
    <w:rsid w:val="00F33DA2"/>
    <w:rsid w:val="00F3446C"/>
    <w:rsid w:val="00F346A3"/>
    <w:rsid w:val="00F347D7"/>
    <w:rsid w:val="00F349E8"/>
    <w:rsid w:val="00F34B3E"/>
    <w:rsid w:val="00F34D5C"/>
    <w:rsid w:val="00F3507A"/>
    <w:rsid w:val="00F3521F"/>
    <w:rsid w:val="00F35A21"/>
    <w:rsid w:val="00F367BB"/>
    <w:rsid w:val="00F36874"/>
    <w:rsid w:val="00F36B92"/>
    <w:rsid w:val="00F36EC8"/>
    <w:rsid w:val="00F37175"/>
    <w:rsid w:val="00F404B9"/>
    <w:rsid w:val="00F4069B"/>
    <w:rsid w:val="00F409A8"/>
    <w:rsid w:val="00F40DC3"/>
    <w:rsid w:val="00F41F0B"/>
    <w:rsid w:val="00F4284B"/>
    <w:rsid w:val="00F42CB9"/>
    <w:rsid w:val="00F42CDC"/>
    <w:rsid w:val="00F43A53"/>
    <w:rsid w:val="00F446D0"/>
    <w:rsid w:val="00F4476D"/>
    <w:rsid w:val="00F45C07"/>
    <w:rsid w:val="00F46200"/>
    <w:rsid w:val="00F4642A"/>
    <w:rsid w:val="00F468FF"/>
    <w:rsid w:val="00F50222"/>
    <w:rsid w:val="00F50F59"/>
    <w:rsid w:val="00F5152C"/>
    <w:rsid w:val="00F518EF"/>
    <w:rsid w:val="00F52277"/>
    <w:rsid w:val="00F522EA"/>
    <w:rsid w:val="00F523E8"/>
    <w:rsid w:val="00F527AC"/>
    <w:rsid w:val="00F5456C"/>
    <w:rsid w:val="00F5503F"/>
    <w:rsid w:val="00F55AD7"/>
    <w:rsid w:val="00F55BF3"/>
    <w:rsid w:val="00F5605A"/>
    <w:rsid w:val="00F56CA4"/>
    <w:rsid w:val="00F57153"/>
    <w:rsid w:val="00F57F46"/>
    <w:rsid w:val="00F602EC"/>
    <w:rsid w:val="00F605DB"/>
    <w:rsid w:val="00F619A5"/>
    <w:rsid w:val="00F61D83"/>
    <w:rsid w:val="00F623EC"/>
    <w:rsid w:val="00F628DA"/>
    <w:rsid w:val="00F62D6D"/>
    <w:rsid w:val="00F62F22"/>
    <w:rsid w:val="00F633E2"/>
    <w:rsid w:val="00F636EF"/>
    <w:rsid w:val="00F64BA5"/>
    <w:rsid w:val="00F64BE0"/>
    <w:rsid w:val="00F650D7"/>
    <w:rsid w:val="00F65873"/>
    <w:rsid w:val="00F659F5"/>
    <w:rsid w:val="00F65DD1"/>
    <w:rsid w:val="00F66937"/>
    <w:rsid w:val="00F6738C"/>
    <w:rsid w:val="00F67490"/>
    <w:rsid w:val="00F707B3"/>
    <w:rsid w:val="00F70967"/>
    <w:rsid w:val="00F71135"/>
    <w:rsid w:val="00F72211"/>
    <w:rsid w:val="00F728D9"/>
    <w:rsid w:val="00F730DC"/>
    <w:rsid w:val="00F732A1"/>
    <w:rsid w:val="00F737D0"/>
    <w:rsid w:val="00F73ECD"/>
    <w:rsid w:val="00F741EE"/>
    <w:rsid w:val="00F74309"/>
    <w:rsid w:val="00F74F4F"/>
    <w:rsid w:val="00F75F00"/>
    <w:rsid w:val="00F75F06"/>
    <w:rsid w:val="00F763EA"/>
    <w:rsid w:val="00F7743F"/>
    <w:rsid w:val="00F778CE"/>
    <w:rsid w:val="00F7799D"/>
    <w:rsid w:val="00F77CB7"/>
    <w:rsid w:val="00F77E82"/>
    <w:rsid w:val="00F804DF"/>
    <w:rsid w:val="00F80FF3"/>
    <w:rsid w:val="00F81903"/>
    <w:rsid w:val="00F81DFE"/>
    <w:rsid w:val="00F828E7"/>
    <w:rsid w:val="00F82C35"/>
    <w:rsid w:val="00F83068"/>
    <w:rsid w:val="00F8314C"/>
    <w:rsid w:val="00F83226"/>
    <w:rsid w:val="00F84272"/>
    <w:rsid w:val="00F84A86"/>
    <w:rsid w:val="00F85647"/>
    <w:rsid w:val="00F856EF"/>
    <w:rsid w:val="00F85D38"/>
    <w:rsid w:val="00F86695"/>
    <w:rsid w:val="00F87FB0"/>
    <w:rsid w:val="00F90461"/>
    <w:rsid w:val="00F908CC"/>
    <w:rsid w:val="00F90D70"/>
    <w:rsid w:val="00F90E2E"/>
    <w:rsid w:val="00F91224"/>
    <w:rsid w:val="00F91B03"/>
    <w:rsid w:val="00F91D52"/>
    <w:rsid w:val="00F925D5"/>
    <w:rsid w:val="00F92F17"/>
    <w:rsid w:val="00F930BD"/>
    <w:rsid w:val="00F9349E"/>
    <w:rsid w:val="00F94B57"/>
    <w:rsid w:val="00F95101"/>
    <w:rsid w:val="00F95190"/>
    <w:rsid w:val="00F95847"/>
    <w:rsid w:val="00F95EF3"/>
    <w:rsid w:val="00F960BC"/>
    <w:rsid w:val="00F960BF"/>
    <w:rsid w:val="00F962DB"/>
    <w:rsid w:val="00F96B92"/>
    <w:rsid w:val="00F96D2E"/>
    <w:rsid w:val="00F9744C"/>
    <w:rsid w:val="00F9774C"/>
    <w:rsid w:val="00F979ED"/>
    <w:rsid w:val="00F97A0E"/>
    <w:rsid w:val="00F97F67"/>
    <w:rsid w:val="00FA016F"/>
    <w:rsid w:val="00FA06B2"/>
    <w:rsid w:val="00FA08DB"/>
    <w:rsid w:val="00FA2A2C"/>
    <w:rsid w:val="00FA33C9"/>
    <w:rsid w:val="00FA370D"/>
    <w:rsid w:val="00FA43EC"/>
    <w:rsid w:val="00FA4C68"/>
    <w:rsid w:val="00FA4EDF"/>
    <w:rsid w:val="00FA5CEF"/>
    <w:rsid w:val="00FA5F89"/>
    <w:rsid w:val="00FA6036"/>
    <w:rsid w:val="00FA6181"/>
    <w:rsid w:val="00FA642E"/>
    <w:rsid w:val="00FA65EF"/>
    <w:rsid w:val="00FA66F1"/>
    <w:rsid w:val="00FA73BA"/>
    <w:rsid w:val="00FB110C"/>
    <w:rsid w:val="00FB2A42"/>
    <w:rsid w:val="00FB3496"/>
    <w:rsid w:val="00FB38EE"/>
    <w:rsid w:val="00FB3AD8"/>
    <w:rsid w:val="00FB3B61"/>
    <w:rsid w:val="00FB3F52"/>
    <w:rsid w:val="00FB3F6F"/>
    <w:rsid w:val="00FB4E75"/>
    <w:rsid w:val="00FB5308"/>
    <w:rsid w:val="00FB5647"/>
    <w:rsid w:val="00FB5DD4"/>
    <w:rsid w:val="00FB6A9D"/>
    <w:rsid w:val="00FB6B8B"/>
    <w:rsid w:val="00FB6ED0"/>
    <w:rsid w:val="00FB7ACB"/>
    <w:rsid w:val="00FB7BDB"/>
    <w:rsid w:val="00FC0406"/>
    <w:rsid w:val="00FC07E6"/>
    <w:rsid w:val="00FC120D"/>
    <w:rsid w:val="00FC12FF"/>
    <w:rsid w:val="00FC15D8"/>
    <w:rsid w:val="00FC1AD0"/>
    <w:rsid w:val="00FC1D90"/>
    <w:rsid w:val="00FC1FD7"/>
    <w:rsid w:val="00FC1FFE"/>
    <w:rsid w:val="00FC29D2"/>
    <w:rsid w:val="00FC378B"/>
    <w:rsid w:val="00FC3959"/>
    <w:rsid w:val="00FC3977"/>
    <w:rsid w:val="00FC3FF3"/>
    <w:rsid w:val="00FC4840"/>
    <w:rsid w:val="00FC4C2E"/>
    <w:rsid w:val="00FC577E"/>
    <w:rsid w:val="00FC5C8E"/>
    <w:rsid w:val="00FC5F57"/>
    <w:rsid w:val="00FC5F8B"/>
    <w:rsid w:val="00FC6287"/>
    <w:rsid w:val="00FC689B"/>
    <w:rsid w:val="00FC6ACC"/>
    <w:rsid w:val="00FC6B9F"/>
    <w:rsid w:val="00FC6D1B"/>
    <w:rsid w:val="00FC71E1"/>
    <w:rsid w:val="00FC748D"/>
    <w:rsid w:val="00FC7649"/>
    <w:rsid w:val="00FC7A07"/>
    <w:rsid w:val="00FC7F5A"/>
    <w:rsid w:val="00FD1A11"/>
    <w:rsid w:val="00FD1FF4"/>
    <w:rsid w:val="00FD2566"/>
    <w:rsid w:val="00FD256A"/>
    <w:rsid w:val="00FD25C7"/>
    <w:rsid w:val="00FD2E8C"/>
    <w:rsid w:val="00FD2EE1"/>
    <w:rsid w:val="00FD2F16"/>
    <w:rsid w:val="00FD2F54"/>
    <w:rsid w:val="00FD32B0"/>
    <w:rsid w:val="00FD41A4"/>
    <w:rsid w:val="00FD4E93"/>
    <w:rsid w:val="00FD597C"/>
    <w:rsid w:val="00FD5B65"/>
    <w:rsid w:val="00FD5EF7"/>
    <w:rsid w:val="00FD6065"/>
    <w:rsid w:val="00FD61A3"/>
    <w:rsid w:val="00FD6563"/>
    <w:rsid w:val="00FD6B92"/>
    <w:rsid w:val="00FD6B93"/>
    <w:rsid w:val="00FD6D41"/>
    <w:rsid w:val="00FD72E5"/>
    <w:rsid w:val="00FD7D82"/>
    <w:rsid w:val="00FE05AF"/>
    <w:rsid w:val="00FE1D34"/>
    <w:rsid w:val="00FE244F"/>
    <w:rsid w:val="00FE27AB"/>
    <w:rsid w:val="00FE28BD"/>
    <w:rsid w:val="00FE2A6F"/>
    <w:rsid w:val="00FE2C81"/>
    <w:rsid w:val="00FE3095"/>
    <w:rsid w:val="00FE33E5"/>
    <w:rsid w:val="00FE3F60"/>
    <w:rsid w:val="00FE4131"/>
    <w:rsid w:val="00FE4A40"/>
    <w:rsid w:val="00FE4A42"/>
    <w:rsid w:val="00FE4EC2"/>
    <w:rsid w:val="00FE4F5F"/>
    <w:rsid w:val="00FE5887"/>
    <w:rsid w:val="00FE61E2"/>
    <w:rsid w:val="00FE6393"/>
    <w:rsid w:val="00FE72B2"/>
    <w:rsid w:val="00FE7C2F"/>
    <w:rsid w:val="00FE7DE1"/>
    <w:rsid w:val="00FF01F3"/>
    <w:rsid w:val="00FF154A"/>
    <w:rsid w:val="00FF170B"/>
    <w:rsid w:val="00FF1E3C"/>
    <w:rsid w:val="00FF1EDF"/>
    <w:rsid w:val="00FF232E"/>
    <w:rsid w:val="00FF264B"/>
    <w:rsid w:val="00FF2888"/>
    <w:rsid w:val="00FF2C98"/>
    <w:rsid w:val="00FF397B"/>
    <w:rsid w:val="00FF3EC8"/>
    <w:rsid w:val="00FF418D"/>
    <w:rsid w:val="00FF4316"/>
    <w:rsid w:val="00FF5557"/>
    <w:rsid w:val="00FF5A4A"/>
    <w:rsid w:val="00FF5D63"/>
    <w:rsid w:val="00FF5E60"/>
    <w:rsid w:val="00FF6265"/>
    <w:rsid w:val="00FF6538"/>
    <w:rsid w:val="00FF664D"/>
    <w:rsid w:val="00FF72A5"/>
    <w:rsid w:val="00FF7386"/>
    <w:rsid w:val="00FF773E"/>
    <w:rsid w:val="00FF777C"/>
    <w:rsid w:val="00FF79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4AFCC"/>
  <w15:docId w15:val="{31423B45-4B6B-451A-9C7A-995DE1B2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26C9A"/>
    <w:rPr>
      <w:sz w:val="18"/>
      <w:lang w:val="en-GB"/>
    </w:rPr>
  </w:style>
  <w:style w:type="paragraph" w:styleId="Heading1">
    <w:name w:val="heading 1"/>
    <w:next w:val="Heading1separationline"/>
    <w:link w:val="Heading1Char"/>
    <w:uiPriority w:val="9"/>
    <w:qFormat/>
    <w:rsid w:val="00586C66"/>
    <w:pPr>
      <w:keepNext/>
      <w:keepLines/>
      <w:numPr>
        <w:numId w:val="18"/>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uiPriority w:val="9"/>
    <w:qFormat/>
    <w:rsid w:val="00586C66"/>
    <w:pPr>
      <w:numPr>
        <w:ilvl w:val="1"/>
      </w:numPr>
      <w:ind w:right="709"/>
      <w:outlineLvl w:val="1"/>
    </w:pPr>
    <w:rPr>
      <w:bCs w:val="0"/>
      <w:sz w:val="24"/>
    </w:rPr>
  </w:style>
  <w:style w:type="paragraph" w:styleId="Heading3">
    <w:name w:val="heading 3"/>
    <w:basedOn w:val="Heading2"/>
    <w:next w:val="BodyText"/>
    <w:link w:val="Heading3Char"/>
    <w:uiPriority w:val="9"/>
    <w:qFormat/>
    <w:rsid w:val="000418CA"/>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0418CA"/>
    <w:pPr>
      <w:numPr>
        <w:ilvl w:val="3"/>
      </w:numPr>
      <w:ind w:right="992"/>
      <w:outlineLvl w:val="3"/>
    </w:pPr>
    <w:rPr>
      <w:bCs w:val="0"/>
      <w:iCs/>
      <w:smallCaps w:val="0"/>
      <w:sz w:val="22"/>
    </w:rPr>
  </w:style>
  <w:style w:type="paragraph" w:styleId="Heading5">
    <w:name w:val="heading 5"/>
    <w:basedOn w:val="Heading4"/>
    <w:next w:val="Normal"/>
    <w:link w:val="Heading5Char"/>
    <w:qFormat/>
    <w:rsid w:val="000418CA"/>
    <w:pPr>
      <w:numPr>
        <w:ilvl w:val="4"/>
      </w:numPr>
      <w:spacing w:before="200"/>
      <w:ind w:left="1701" w:hanging="1701"/>
      <w:outlineLvl w:val="4"/>
    </w:pPr>
    <w:rPr>
      <w:b w:val="0"/>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380350"/>
    <w:pPr>
      <w:spacing w:after="0" w:line="240" w:lineRule="exact"/>
    </w:pPr>
    <w:rPr>
      <w:sz w:val="20"/>
      <w:lang w:val="en-GB"/>
    </w:rPr>
  </w:style>
  <w:style w:type="character" w:customStyle="1" w:styleId="HeaderChar">
    <w:name w:val="Header Char"/>
    <w:basedOn w:val="DefaultParagraphFont"/>
    <w:link w:val="Header"/>
    <w:uiPriority w:val="99"/>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39"/>
    <w:rsid w:val="004D6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uiPriority w:val="9"/>
    <w:rsid w:val="00586C66"/>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uiPriority w:val="9"/>
    <w:rsid w:val="00586C66"/>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uiPriority w:val="9"/>
    <w:rsid w:val="000418CA"/>
    <w:rPr>
      <w:rFonts w:asciiTheme="majorHAnsi" w:eastAsiaTheme="majorEastAsia" w:hAnsiTheme="majorHAnsi" w:cstheme="majorBidi"/>
      <w:b/>
      <w:bCs/>
      <w:smallCaps/>
      <w:color w:val="00558C"/>
      <w:sz w:val="24"/>
      <w:szCs w:val="24"/>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0418CA"/>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rsid w:val="000418CA"/>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8310C9"/>
    <w:pPr>
      <w:numPr>
        <w:numId w:val="13"/>
      </w:numPr>
      <w:spacing w:after="120"/>
    </w:pPr>
    <w:rPr>
      <w:color w:val="000000" w:themeColor="text1"/>
      <w:sz w:val="22"/>
    </w:rPr>
  </w:style>
  <w:style w:type="paragraph" w:customStyle="1" w:styleId="Bullet2">
    <w:name w:val="Bullet 2"/>
    <w:basedOn w:val="Normal"/>
    <w:link w:val="Bullet2Char"/>
    <w:qFormat/>
    <w:rsid w:val="000B1A90"/>
    <w:pPr>
      <w:numPr>
        <w:numId w:val="14"/>
      </w:numPr>
      <w:spacing w:after="120"/>
    </w:pPr>
    <w:rPr>
      <w:color w:val="000000" w:themeColor="text1"/>
      <w:sz w:val="22"/>
    </w:rPr>
  </w:style>
  <w:style w:type="paragraph" w:customStyle="1" w:styleId="Heading1separationline">
    <w:name w:val="Heading 1 separ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0D76B7"/>
    <w:pPr>
      <w:tabs>
        <w:tab w:val="right" w:leader="dot" w:pos="9781"/>
      </w:tabs>
      <w:spacing w:after="40" w:line="300" w:lineRule="atLeast"/>
      <w:ind w:left="425" w:right="425" w:hanging="425"/>
    </w:pPr>
    <w:rPr>
      <w:b/>
      <w:caps/>
      <w:noProof/>
      <w:color w:val="00558C" w:themeColor="accent1"/>
      <w:sz w:val="22"/>
    </w:rPr>
  </w:style>
  <w:style w:type="paragraph" w:styleId="TOC2">
    <w:name w:val="toc 2"/>
    <w:basedOn w:val="Normal"/>
    <w:next w:val="Normal"/>
    <w:autoRedefine/>
    <w:uiPriority w:val="39"/>
    <w:rsid w:val="00D63AF4"/>
    <w:pPr>
      <w:tabs>
        <w:tab w:val="right" w:leader="dot" w:pos="9781"/>
      </w:tabs>
      <w:spacing w:after="0" w:line="240" w:lineRule="auto"/>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80602A"/>
    <w:pPr>
      <w:tabs>
        <w:tab w:val="right" w:leader="dot" w:pos="9781"/>
      </w:tabs>
      <w:spacing w:after="60"/>
      <w:ind w:left="1276" w:right="425" w:hanging="1276"/>
    </w:pPr>
    <w:rPr>
      <w:i/>
      <w:color w:val="00558C"/>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Doicumentrevisiontabletitle">
    <w:name w:val="Doicument revision table title"/>
    <w:basedOn w:val="Tabletext"/>
    <w:rsid w:val="00051724"/>
    <w:rPr>
      <w:b/>
      <w:color w:val="00558C"/>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1E32E5"/>
    <w:pPr>
      <w:tabs>
        <w:tab w:val="right" w:leader="dot" w:pos="9781"/>
      </w:tabs>
      <w:spacing w:after="60"/>
      <w:ind w:left="1134" w:hanging="709"/>
    </w:pPr>
    <w:rPr>
      <w:color w:val="00558C"/>
    </w:rPr>
  </w:style>
  <w:style w:type="paragraph" w:customStyle="1" w:styleId="Listatext">
    <w:name w:val="List a text"/>
    <w:basedOn w:val="Normal"/>
    <w:qFormat/>
    <w:rsid w:val="008310C9"/>
    <w:pPr>
      <w:spacing w:after="120"/>
      <w:ind w:left="1134"/>
    </w:pPr>
    <w:rPr>
      <w:sz w:val="22"/>
    </w:rPr>
  </w:style>
  <w:style w:type="character" w:customStyle="1" w:styleId="Bullet2Char">
    <w:name w:val="Bullet 2 Char"/>
    <w:basedOn w:val="DefaultParagraphFont"/>
    <w:link w:val="Bullet2"/>
    <w:rsid w:val="000B1A90"/>
    <w:rPr>
      <w:color w:val="000000" w:themeColor="text1"/>
      <w:lang w:val="en-GB"/>
    </w:rPr>
  </w:style>
  <w:style w:type="paragraph" w:customStyle="1" w:styleId="AppendixHead2">
    <w:name w:val="Appendix Head 2"/>
    <w:basedOn w:val="Appendix"/>
    <w:next w:val="Heading2separationline"/>
    <w:qFormat/>
    <w:rsid w:val="00586C66"/>
    <w:pPr>
      <w:numPr>
        <w:ilvl w:val="2"/>
      </w:numPr>
      <w:spacing w:after="120"/>
    </w:pPr>
    <w:rPr>
      <w:rFonts w:cs="Arial"/>
      <w:sz w:val="24"/>
      <w:lang w:eastAsia="en-GB"/>
    </w:rPr>
  </w:style>
  <w:style w:type="paragraph" w:customStyle="1" w:styleId="AppendixHead3">
    <w:name w:val="Appendix Head 3"/>
    <w:basedOn w:val="Normal"/>
    <w:next w:val="BodyText"/>
    <w:qFormat/>
    <w:rsid w:val="00E5035D"/>
    <w:pPr>
      <w:numPr>
        <w:ilvl w:val="3"/>
        <w:numId w:val="8"/>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E5035D"/>
    <w:pPr>
      <w:numPr>
        <w:ilvl w:val="4"/>
      </w:numPr>
    </w:pPr>
    <w:rPr>
      <w:smallCaps w:val="0"/>
      <w:sz w:val="22"/>
    </w:rPr>
  </w:style>
  <w:style w:type="paragraph" w:customStyle="1" w:styleId="AppendixHead5">
    <w:name w:val="Appendix Head 5"/>
    <w:basedOn w:val="AppendixHead4"/>
    <w:next w:val="BodyText"/>
    <w:qFormat/>
    <w:rsid w:val="00A90AAC"/>
    <w:pPr>
      <w:ind w:left="1701" w:hanging="1701"/>
    </w:pPr>
    <w:rPr>
      <w:b w:val="0"/>
    </w:rPr>
  </w:style>
  <w:style w:type="paragraph" w:customStyle="1" w:styleId="Annex">
    <w:name w:val="Annex"/>
    <w:next w:val="BodyText"/>
    <w:link w:val="AnnexChar"/>
    <w:qFormat/>
    <w:rsid w:val="00E5035D"/>
    <w:pPr>
      <w:numPr>
        <w:numId w:val="1"/>
      </w:numPr>
      <w:spacing w:after="360"/>
    </w:pPr>
    <w:rPr>
      <w:b/>
      <w:caps/>
      <w:color w:val="00558C"/>
      <w:sz w:val="28"/>
      <w:lang w:val="en-GB"/>
    </w:rPr>
  </w:style>
  <w:style w:type="character" w:customStyle="1" w:styleId="AnnexChar">
    <w:name w:val="Annex Char"/>
    <w:basedOn w:val="DefaultParagraphFont"/>
    <w:link w:val="Annex"/>
    <w:rsid w:val="00E5035D"/>
    <w:rPr>
      <w:b/>
      <w:caps/>
      <w:color w:val="00558C"/>
      <w:sz w:val="28"/>
      <w:lang w:val="en-GB"/>
    </w:rPr>
  </w:style>
  <w:style w:type="paragraph" w:customStyle="1" w:styleId="AnnexHead2">
    <w:name w:val="Annex Head 2"/>
    <w:basedOn w:val="Annex"/>
    <w:next w:val="Heading1separationline"/>
    <w:qFormat/>
    <w:rsid w:val="00E5035D"/>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0418CA"/>
    <w:pPr>
      <w:numPr>
        <w:ilvl w:val="2"/>
      </w:numPr>
    </w:pPr>
    <w:rPr>
      <w:caps w:val="0"/>
      <w:smallCaps/>
    </w:rPr>
  </w:style>
  <w:style w:type="paragraph" w:styleId="BodyText">
    <w:name w:val="Body Text"/>
    <w:basedOn w:val="Normal"/>
    <w:link w:val="BodyTextChar"/>
    <w:uiPriority w:val="99"/>
    <w:unhideWhenUsed/>
    <w:qFormat/>
    <w:rsid w:val="00820C2C"/>
    <w:pPr>
      <w:spacing w:after="120"/>
      <w:jc w:val="both"/>
    </w:pPr>
    <w:rPr>
      <w:sz w:val="22"/>
    </w:rPr>
  </w:style>
  <w:style w:type="character" w:customStyle="1" w:styleId="BodyTextChar">
    <w:name w:val="Body Text Char"/>
    <w:basedOn w:val="DefaultParagraphFont"/>
    <w:link w:val="BodyText"/>
    <w:uiPriority w:val="99"/>
    <w:qFormat/>
    <w:rsid w:val="00820C2C"/>
    <w:rPr>
      <w:lang w:val="en-GB"/>
    </w:rPr>
  </w:style>
  <w:style w:type="paragraph" w:customStyle="1" w:styleId="AnnexHead4">
    <w:name w:val="Annex Head 4"/>
    <w:basedOn w:val="AnnexHead3"/>
    <w:next w:val="BodyText"/>
    <w:qFormat/>
    <w:rsid w:val="000418CA"/>
    <w:pPr>
      <w:numPr>
        <w:ilvl w:val="3"/>
      </w:numPr>
    </w:pPr>
    <w:rPr>
      <w:smallCaps w:val="0"/>
      <w:sz w:val="22"/>
    </w:rPr>
  </w:style>
  <w:style w:type="paragraph" w:customStyle="1" w:styleId="AnnexHead5">
    <w:name w:val="Annex Head 5"/>
    <w:basedOn w:val="Normal"/>
    <w:next w:val="BodyText"/>
    <w:qFormat/>
    <w:rsid w:val="000418CA"/>
    <w:pPr>
      <w:numPr>
        <w:ilvl w:val="4"/>
        <w:numId w:val="1"/>
      </w:numPr>
      <w:spacing w:before="120" w:after="120" w:line="240" w:lineRule="auto"/>
      <w:ind w:left="1701" w:hanging="1701"/>
    </w:pPr>
    <w:rPr>
      <w:rFonts w:eastAsia="Calibri" w:cs="Calibri"/>
      <w:color w:val="00558C"/>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qFormat/>
    <w:rsid w:val="006E10BF"/>
    <w:pPr>
      <w:numPr>
        <w:numId w:val="5"/>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Tablecaption">
    <w:name w:val="Table caption"/>
    <w:basedOn w:val="Caption"/>
    <w:next w:val="BodyText"/>
    <w:qFormat/>
    <w:rsid w:val="007A4FEF"/>
    <w:pPr>
      <w:numPr>
        <w:numId w:val="3"/>
      </w:numPr>
      <w:tabs>
        <w:tab w:val="left" w:pos="851"/>
      </w:tabs>
      <w:spacing w:before="240" w:after="240"/>
      <w:jc w:val="center"/>
    </w:pPr>
    <w:rPr>
      <w:b w:val="0"/>
      <w:u w:val="none"/>
    </w:rPr>
  </w:style>
  <w:style w:type="paragraph" w:styleId="ListNumber">
    <w:name w:val="List Number"/>
    <w:basedOn w:val="Normal"/>
    <w:semiHidden/>
    <w:rsid w:val="006E10BF"/>
    <w:pPr>
      <w:numPr>
        <w:numId w:val="7"/>
      </w:numPr>
      <w:contextualSpacing/>
    </w:pPr>
  </w:style>
  <w:style w:type="paragraph" w:styleId="TOC4">
    <w:name w:val="toc 4"/>
    <w:basedOn w:val="Normal"/>
    <w:next w:val="Normal"/>
    <w:autoRedefine/>
    <w:uiPriority w:val="39"/>
    <w:unhideWhenUsed/>
    <w:rsid w:val="00BA5513"/>
    <w:pPr>
      <w:tabs>
        <w:tab w:val="right" w:leader="dot" w:pos="9781"/>
        <w:tab w:val="right" w:leader="dot" w:pos="10195"/>
      </w:tabs>
      <w:ind w:left="1418" w:right="425" w:hanging="1418"/>
    </w:pPr>
    <w:rPr>
      <w:caps/>
      <w:color w:val="00558C"/>
      <w:sz w:val="20"/>
    </w:rPr>
  </w:style>
  <w:style w:type="paragraph" w:styleId="FootnoteText">
    <w:name w:val="footnote text"/>
    <w:basedOn w:val="Normal"/>
    <w:link w:val="FootnoteTextChar"/>
    <w:uiPriority w:val="99"/>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332A7B"/>
    <w:rPr>
      <w:sz w:val="18"/>
      <w:szCs w:val="24"/>
      <w:vertAlign w:val="superscript"/>
      <w:lang w:val="en-GB"/>
    </w:rPr>
  </w:style>
  <w:style w:type="character" w:styleId="FootnoteReference">
    <w:name w:val="footnote reference"/>
    <w:uiPriority w:val="99"/>
    <w:rsid w:val="00DD69FB"/>
    <w:rPr>
      <w:rFonts w:asciiTheme="minorHAnsi" w:hAnsiTheme="minorHAnsi"/>
      <w:sz w:val="20"/>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8310C9"/>
    <w:pPr>
      <w:numPr>
        <w:ilvl w:val="1"/>
        <w:numId w:val="17"/>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4"/>
      </w:numPr>
    </w:pPr>
  </w:style>
  <w:style w:type="paragraph" w:styleId="TOC5">
    <w:name w:val="toc 5"/>
    <w:basedOn w:val="Normal"/>
    <w:next w:val="Normal"/>
    <w:autoRedefine/>
    <w:uiPriority w:val="39"/>
    <w:rsid w:val="00CD0232"/>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FF418D"/>
    <w:pPr>
      <w:numPr>
        <w:ilvl w:val="2"/>
        <w:numId w:val="17"/>
      </w:numPr>
      <w:ind w:left="1701" w:hanging="425"/>
    </w:pPr>
  </w:style>
  <w:style w:type="paragraph" w:customStyle="1" w:styleId="Listitext">
    <w:name w:val="List i text"/>
    <w:basedOn w:val="Normal"/>
    <w:qFormat/>
    <w:rsid w:val="00FF418D"/>
    <w:pPr>
      <w:ind w:left="2268" w:hanging="567"/>
    </w:pPr>
    <w:rPr>
      <w:sz w:val="20"/>
    </w:rPr>
  </w:style>
  <w:style w:type="paragraph" w:customStyle="1" w:styleId="Bullet1text">
    <w:name w:val="Bullet 1 text"/>
    <w:basedOn w:val="Normal"/>
    <w:qFormat/>
    <w:rsid w:val="008310C9"/>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
    <w:qFormat/>
    <w:rsid w:val="008310C9"/>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8310C9"/>
    <w:pPr>
      <w:numPr>
        <w:numId w:val="15"/>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8310C9"/>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
    <w:qFormat/>
    <w:rsid w:val="008310C9"/>
    <w:pPr>
      <w:numPr>
        <w:numId w:val="16"/>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8310C9"/>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uiPriority w:val="20"/>
    <w:qFormat/>
    <w:rsid w:val="008972C3"/>
    <w:rPr>
      <w:i/>
      <w:iCs/>
    </w:rPr>
  </w:style>
  <w:style w:type="character" w:styleId="HTMLCite">
    <w:name w:val="HTML Cite"/>
    <w:rsid w:val="008972C3"/>
    <w:rPr>
      <w:i/>
      <w:iCs/>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D6C87"/>
    <w:pPr>
      <w:numPr>
        <w:numId w:val="2"/>
      </w:numPr>
      <w:spacing w:before="120"/>
      <w:contextualSpacing/>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BodyText"/>
    <w:qFormat/>
    <w:rsid w:val="002176C4"/>
    <w:pPr>
      <w:numPr>
        <w:numId w:val="20"/>
      </w:numPr>
      <w:jc w:val="center"/>
    </w:pPr>
    <w:rPr>
      <w:i/>
      <w:color w:val="00558C"/>
      <w:lang w:eastAsia="en-GB"/>
    </w:rPr>
  </w:style>
  <w:style w:type="paragraph" w:customStyle="1" w:styleId="Figurecaption">
    <w:name w:val="Figure caption"/>
    <w:basedOn w:val="Caption"/>
    <w:next w:val="BodyText"/>
    <w:qFormat/>
    <w:rsid w:val="00DD69FB"/>
    <w:pPr>
      <w:numPr>
        <w:numId w:val="6"/>
      </w:numPr>
      <w:spacing w:before="240" w:after="240"/>
      <w:jc w:val="center"/>
    </w:pPr>
    <w:rPr>
      <w:b w:val="0"/>
      <w:u w:val="none"/>
    </w:rPr>
  </w:style>
  <w:style w:type="paragraph" w:styleId="NoSpacing">
    <w:name w:val="No Spacing"/>
    <w:uiPriority w:val="1"/>
    <w:rsid w:val="00C55EFB"/>
    <w:pPr>
      <w:spacing w:after="0" w:line="240" w:lineRule="auto"/>
    </w:pPr>
    <w:rPr>
      <w:sz w:val="18"/>
      <w:lang w:val="en-GB"/>
    </w:rPr>
  </w:style>
  <w:style w:type="paragraph" w:customStyle="1" w:styleId="Abbreviations">
    <w:name w:val="Abbreviations"/>
    <w:basedOn w:val="Normal"/>
    <w:qFormat/>
    <w:rsid w:val="000B577B"/>
    <w:pPr>
      <w:spacing w:after="60"/>
      <w:ind w:left="1418" w:hanging="1418"/>
    </w:pPr>
    <w:rPr>
      <w:sz w:val="22"/>
    </w:rPr>
  </w:style>
  <w:style w:type="paragraph" w:customStyle="1" w:styleId="Tableheading">
    <w:name w:val="Table heading"/>
    <w:basedOn w:val="Normal"/>
    <w:qFormat/>
    <w:rsid w:val="00983287"/>
    <w:pPr>
      <w:spacing w:before="60" w:after="60"/>
      <w:ind w:left="113" w:right="113"/>
      <w:jc w:val="center"/>
    </w:pPr>
    <w:rPr>
      <w:b/>
      <w:color w:val="00558C"/>
      <w:sz w:val="20"/>
      <w:lang w:val="en-US"/>
    </w:rPr>
  </w:style>
  <w:style w:type="paragraph" w:customStyle="1" w:styleId="Appendix">
    <w:name w:val="Appendix"/>
    <w:next w:val="BodyText"/>
    <w:qFormat/>
    <w:rsid w:val="00E5035D"/>
    <w:pPr>
      <w:numPr>
        <w:numId w:val="8"/>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AB76B7"/>
    <w:pPr>
      <w:ind w:right="14317"/>
    </w:pPr>
  </w:style>
  <w:style w:type="paragraph" w:styleId="Title">
    <w:name w:val="Title"/>
    <w:basedOn w:val="Normal"/>
    <w:link w:val="TitleChar"/>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693B1F"/>
    <w:rPr>
      <w:rFonts w:ascii="Arial" w:eastAsia="Times New Roman" w:hAnsi="Arial" w:cs="Arial"/>
      <w:b/>
      <w:bCs/>
      <w:kern w:val="28"/>
      <w:sz w:val="32"/>
      <w:szCs w:val="32"/>
      <w:lang w:val="en-GB" w:eastAsia="en-GB"/>
    </w:rPr>
  </w:style>
  <w:style w:type="paragraph" w:styleId="Revision">
    <w:name w:val="Revision"/>
    <w:hidden/>
    <w:uiPriority w:val="99"/>
    <w:semiHidden/>
    <w:rsid w:val="00B250D6"/>
    <w:pPr>
      <w:spacing w:after="0" w:line="240" w:lineRule="auto"/>
    </w:pPr>
    <w:rPr>
      <w:sz w:val="18"/>
      <w:lang w:val="en-GB"/>
    </w:rPr>
  </w:style>
  <w:style w:type="paragraph" w:customStyle="1" w:styleId="Referencetext">
    <w:name w:val="Reference text"/>
    <w:basedOn w:val="Normal"/>
    <w:autoRedefine/>
    <w:rsid w:val="00CB7D0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E86147"/>
    <w:rPr>
      <w:b/>
      <w:color w:val="00558C"/>
      <w:sz w:val="28"/>
    </w:rPr>
  </w:style>
  <w:style w:type="character" w:customStyle="1" w:styleId="MRNChar">
    <w:name w:val="MRN Char"/>
    <w:basedOn w:val="DefaultParagraphFont"/>
    <w:link w:val="MRN"/>
    <w:rsid w:val="00E86147"/>
    <w:rPr>
      <w:b/>
      <w:color w:val="00558C"/>
      <w:sz w:val="28"/>
      <w:lang w:val="en-GB"/>
    </w:rPr>
  </w:style>
  <w:style w:type="paragraph" w:customStyle="1" w:styleId="Revokes">
    <w:name w:val="Revokes"/>
    <w:basedOn w:val="Documentdate"/>
    <w:link w:val="RevokesChar"/>
    <w:rsid w:val="003F70D2"/>
    <w:rPr>
      <w:i/>
    </w:rPr>
  </w:style>
  <w:style w:type="character" w:customStyle="1" w:styleId="RevokesChar">
    <w:name w:val="Revokes Char"/>
    <w:basedOn w:val="DefaultParagraphFont"/>
    <w:link w:val="Revokes"/>
    <w:rsid w:val="003F70D2"/>
    <w:rPr>
      <w:b/>
      <w:i/>
      <w:color w:val="00558C"/>
      <w:sz w:val="28"/>
      <w:lang w:val="en-GB"/>
    </w:rPr>
  </w:style>
  <w:style w:type="paragraph" w:customStyle="1" w:styleId="Reference">
    <w:name w:val="Reference"/>
    <w:basedOn w:val="Normal"/>
    <w:qFormat/>
    <w:rsid w:val="00CF10E3"/>
    <w:pPr>
      <w:numPr>
        <w:numId w:val="9"/>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835EA0"/>
    <w:pPr>
      <w:numPr>
        <w:numId w:val="10"/>
      </w:numPr>
      <w:spacing w:before="60"/>
      <w:jc w:val="right"/>
    </w:pPr>
  </w:style>
  <w:style w:type="character" w:customStyle="1" w:styleId="EquationChar">
    <w:name w:val="Equation Char"/>
    <w:basedOn w:val="BodyTextChar"/>
    <w:link w:val="Equation"/>
    <w:rsid w:val="00835EA0"/>
    <w:rPr>
      <w:lang w:val="en-GB"/>
    </w:rPr>
  </w:style>
  <w:style w:type="paragraph" w:customStyle="1" w:styleId="Furtherreading">
    <w:name w:val="Further reading"/>
    <w:basedOn w:val="BodyText"/>
    <w:link w:val="FurtherreadingChar"/>
    <w:qFormat/>
    <w:rsid w:val="0022582A"/>
    <w:pPr>
      <w:numPr>
        <w:numId w:val="11"/>
      </w:numPr>
      <w:spacing w:before="60"/>
    </w:pPr>
  </w:style>
  <w:style w:type="character" w:customStyle="1" w:styleId="FurtherreadingChar">
    <w:name w:val="Further reading Char"/>
    <w:basedOn w:val="BodyTextChar"/>
    <w:link w:val="Furtherreading"/>
    <w:rsid w:val="0022582A"/>
    <w:rPr>
      <w:lang w:val="en-GB"/>
    </w:rPr>
  </w:style>
  <w:style w:type="paragraph" w:customStyle="1" w:styleId="Documentrevisiontabletitle">
    <w:name w:val="Document revision table title"/>
    <w:basedOn w:val="Normal"/>
    <w:rsid w:val="005D3920"/>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176C4"/>
    <w:pPr>
      <w:numPr>
        <w:numId w:val="19"/>
      </w:numPr>
      <w:jc w:val="center"/>
    </w:pPr>
    <w:rPr>
      <w:i/>
      <w:color w:val="00558C"/>
      <w:lang w:eastAsia="en-GB"/>
    </w:rPr>
  </w:style>
  <w:style w:type="character" w:customStyle="1" w:styleId="AnnexFigureCaptionChar">
    <w:name w:val="Annex Figure Caption Char"/>
    <w:basedOn w:val="BodyTextChar"/>
    <w:link w:val="AnnexFigureCaption"/>
    <w:rsid w:val="002176C4"/>
    <w:rPr>
      <w:i/>
      <w:color w:val="00558C"/>
      <w:lang w:val="en-GB" w:eastAsia="en-GB"/>
    </w:rPr>
  </w:style>
  <w:style w:type="paragraph" w:styleId="Index1">
    <w:name w:val="index 1"/>
    <w:basedOn w:val="Normal"/>
    <w:next w:val="Normal"/>
    <w:autoRedefine/>
    <w:semiHidden/>
    <w:unhideWhenUsed/>
    <w:rsid w:val="00326BB4"/>
    <w:pPr>
      <w:spacing w:line="240" w:lineRule="auto"/>
      <w:ind w:left="180" w:hanging="180"/>
    </w:pPr>
  </w:style>
  <w:style w:type="paragraph" w:customStyle="1" w:styleId="AppendixHead1">
    <w:name w:val="Appendix Head 1"/>
    <w:basedOn w:val="Normal"/>
    <w:next w:val="Heading1separationline"/>
    <w:qFormat/>
    <w:rsid w:val="008603E0"/>
    <w:pPr>
      <w:numPr>
        <w:ilvl w:val="1"/>
        <w:numId w:val="8"/>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02CB2"/>
    <w:pPr>
      <w:ind w:left="425" w:right="709"/>
    </w:pPr>
    <w:rPr>
      <w:i/>
    </w:rPr>
  </w:style>
  <w:style w:type="character" w:customStyle="1" w:styleId="EmphasisParagraphChar">
    <w:name w:val="Emphasis Paragraph Char"/>
    <w:basedOn w:val="BodyTextChar"/>
    <w:link w:val="EmphasisParagraph"/>
    <w:rsid w:val="00202CB2"/>
    <w:rPr>
      <w:i/>
      <w:lang w:val="en-GB"/>
    </w:rPr>
  </w:style>
  <w:style w:type="paragraph" w:customStyle="1" w:styleId="Quotationparagraph">
    <w:name w:val="Quotation paragraph"/>
    <w:basedOn w:val="BodyText"/>
    <w:link w:val="QuotationparagraphChar"/>
    <w:qFormat/>
    <w:rsid w:val="00A800A9"/>
    <w:pPr>
      <w:suppressAutoHyphens/>
      <w:ind w:left="567" w:right="707"/>
    </w:pPr>
  </w:style>
  <w:style w:type="character" w:customStyle="1" w:styleId="QuotationparagraphChar">
    <w:name w:val="Quotation paragraph Char"/>
    <w:basedOn w:val="BodyTextChar"/>
    <w:link w:val="Quotationparagraph"/>
    <w:rsid w:val="00A800A9"/>
    <w:rPr>
      <w:lang w:val="en-GB"/>
    </w:rPr>
  </w:style>
  <w:style w:type="paragraph" w:customStyle="1" w:styleId="AnnexBHead2">
    <w:name w:val="Annex B Head 2"/>
    <w:basedOn w:val="Normal"/>
    <w:next w:val="Heading2separationline"/>
    <w:rsid w:val="00EB1BBB"/>
    <w:pPr>
      <w:numPr>
        <w:ilvl w:val="1"/>
        <w:numId w:val="21"/>
      </w:numPr>
    </w:pPr>
    <w:rPr>
      <w:b/>
      <w:caps/>
      <w:color w:val="407EC9"/>
      <w:sz w:val="24"/>
    </w:rPr>
  </w:style>
  <w:style w:type="paragraph" w:customStyle="1" w:styleId="AnnexBHead3">
    <w:name w:val="Annex B Head 3"/>
    <w:basedOn w:val="Normal"/>
    <w:next w:val="BodyText"/>
    <w:rsid w:val="00EB1BBB"/>
    <w:pPr>
      <w:numPr>
        <w:ilvl w:val="2"/>
        <w:numId w:val="21"/>
      </w:numPr>
    </w:pPr>
    <w:rPr>
      <w:b/>
      <w:smallCaps/>
      <w:color w:val="407EC9"/>
      <w:sz w:val="22"/>
    </w:rPr>
  </w:style>
  <w:style w:type="paragraph" w:customStyle="1" w:styleId="AnnexBHead4">
    <w:name w:val="Annex B Head 4"/>
    <w:basedOn w:val="Normal"/>
    <w:next w:val="BodyText"/>
    <w:rsid w:val="00EB1BBB"/>
    <w:pPr>
      <w:numPr>
        <w:ilvl w:val="3"/>
        <w:numId w:val="21"/>
      </w:numPr>
    </w:pPr>
    <w:rPr>
      <w:b/>
      <w:color w:val="407EC9"/>
      <w:sz w:val="22"/>
    </w:rPr>
  </w:style>
  <w:style w:type="paragraph" w:styleId="ListBullet">
    <w:name w:val="List Bullet"/>
    <w:basedOn w:val="Normal"/>
    <w:unhideWhenUsed/>
    <w:rsid w:val="002E6470"/>
    <w:pPr>
      <w:numPr>
        <w:numId w:val="12"/>
      </w:numPr>
      <w:spacing w:after="120" w:line="240" w:lineRule="auto"/>
    </w:pPr>
    <w:rPr>
      <w:sz w:val="22"/>
    </w:rPr>
  </w:style>
  <w:style w:type="character" w:customStyle="1" w:styleId="UnresolvedMention1">
    <w:name w:val="Unresolved Mention1"/>
    <w:basedOn w:val="DefaultParagraphFont"/>
    <w:uiPriority w:val="99"/>
    <w:semiHidden/>
    <w:unhideWhenUsed/>
    <w:rsid w:val="005727E2"/>
    <w:rPr>
      <w:color w:val="605E5C"/>
      <w:shd w:val="clear" w:color="auto" w:fill="E1DFDD"/>
    </w:rPr>
  </w:style>
  <w:style w:type="character" w:customStyle="1" w:styleId="cf01">
    <w:name w:val="cf01"/>
    <w:basedOn w:val="DefaultParagraphFont"/>
    <w:rsid w:val="00585CE5"/>
    <w:rPr>
      <w:rFonts w:ascii="Segoe UI" w:hAnsi="Segoe UI" w:cs="Segoe UI" w:hint="default"/>
      <w:sz w:val="18"/>
      <w:szCs w:val="18"/>
    </w:rPr>
  </w:style>
  <w:style w:type="paragraph" w:styleId="ListParagraph">
    <w:name w:val="List Paragraph"/>
    <w:basedOn w:val="Normal"/>
    <w:uiPriority w:val="34"/>
    <w:qFormat/>
    <w:rsid w:val="008205C5"/>
    <w:pPr>
      <w:ind w:left="720"/>
      <w:contextualSpacing/>
    </w:pPr>
    <w:rPr>
      <w:rFonts w:eastAsiaTheme="minorEastAsia"/>
      <w:sz w:val="22"/>
      <w:lang w:val="en-AU"/>
    </w:rPr>
  </w:style>
  <w:style w:type="table" w:customStyle="1" w:styleId="TableGrid2">
    <w:name w:val="Table Grid2"/>
    <w:basedOn w:val="TableNormal"/>
    <w:next w:val="TableGrid"/>
    <w:uiPriority w:val="59"/>
    <w:rsid w:val="008205C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indent">
    <w:name w:val="List 1 indent"/>
    <w:basedOn w:val="Normal"/>
    <w:qFormat/>
    <w:rsid w:val="009546F2"/>
    <w:pPr>
      <w:tabs>
        <w:tab w:val="num" w:pos="567"/>
      </w:tabs>
      <w:spacing w:after="120" w:line="240" w:lineRule="auto"/>
      <w:ind w:left="1134" w:hanging="567"/>
      <w:jc w:val="both"/>
    </w:pPr>
    <w:rPr>
      <w:rFonts w:ascii="Arial" w:eastAsia="Times New Roman" w:hAnsi="Arial" w:cs="Times New Roman"/>
      <w:sz w:val="22"/>
      <w:szCs w:val="20"/>
      <w:lang w:eastAsia="en-GB"/>
    </w:rPr>
  </w:style>
  <w:style w:type="paragraph" w:customStyle="1" w:styleId="List1indent2">
    <w:name w:val="List 1 indent 2"/>
    <w:basedOn w:val="Normal"/>
    <w:qFormat/>
    <w:rsid w:val="009546F2"/>
    <w:pPr>
      <w:widowControl w:val="0"/>
      <w:autoSpaceDE w:val="0"/>
      <w:autoSpaceDN w:val="0"/>
      <w:adjustRightInd w:val="0"/>
      <w:spacing w:after="120" w:line="240" w:lineRule="auto"/>
      <w:ind w:left="1701" w:hanging="567"/>
      <w:jc w:val="both"/>
    </w:pPr>
    <w:rPr>
      <w:rFonts w:ascii="Arial" w:eastAsia="Times New Roman" w:hAnsi="Arial" w:cs="Arial"/>
      <w:sz w:val="20"/>
      <w:szCs w:val="20"/>
      <w:lang w:eastAsia="en-GB"/>
    </w:rPr>
  </w:style>
  <w:style w:type="paragraph" w:customStyle="1" w:styleId="LDClause">
    <w:name w:val="LDClause"/>
    <w:basedOn w:val="Normal"/>
    <w:link w:val="LDClauseChar"/>
    <w:rsid w:val="00B33D38"/>
    <w:pPr>
      <w:tabs>
        <w:tab w:val="right" w:pos="454"/>
        <w:tab w:val="left" w:pos="737"/>
      </w:tabs>
      <w:spacing w:before="60" w:after="60" w:line="240" w:lineRule="auto"/>
      <w:ind w:left="737" w:hanging="1021"/>
    </w:pPr>
    <w:rPr>
      <w:rFonts w:ascii="Times New Roman" w:eastAsia="Times New Roman" w:hAnsi="Times New Roman" w:cs="Times New Roman"/>
      <w:sz w:val="24"/>
      <w:szCs w:val="24"/>
      <w:lang w:val="en-AU"/>
    </w:rPr>
  </w:style>
  <w:style w:type="character" w:customStyle="1" w:styleId="LDClauseChar">
    <w:name w:val="LDClause Char"/>
    <w:basedOn w:val="DefaultParagraphFont"/>
    <w:link w:val="LDClause"/>
    <w:rsid w:val="00B33D38"/>
    <w:rPr>
      <w:rFonts w:ascii="Times New Roman" w:eastAsia="Times New Roman" w:hAnsi="Times New Roman" w:cs="Times New Roman"/>
      <w:sz w:val="24"/>
      <w:szCs w:val="24"/>
      <w:lang w:val="en-AU"/>
    </w:rPr>
  </w:style>
  <w:style w:type="paragraph" w:customStyle="1" w:styleId="LDNote">
    <w:name w:val="LDNote"/>
    <w:basedOn w:val="LDClause"/>
    <w:link w:val="LDNoteChar"/>
    <w:rsid w:val="00B33D38"/>
    <w:pPr>
      <w:ind w:firstLine="0"/>
    </w:pPr>
    <w:rPr>
      <w:sz w:val="20"/>
    </w:rPr>
  </w:style>
  <w:style w:type="character" w:customStyle="1" w:styleId="LDNoteChar">
    <w:name w:val="LDNote Char"/>
    <w:basedOn w:val="LDClauseChar"/>
    <w:link w:val="LDNote"/>
    <w:rsid w:val="00B33D38"/>
    <w:rPr>
      <w:rFonts w:ascii="Times New Roman" w:eastAsia="Times New Roman" w:hAnsi="Times New Roman" w:cs="Times New Roman"/>
      <w:sz w:val="20"/>
      <w:szCs w:val="24"/>
      <w:lang w:val="en-AU"/>
    </w:rPr>
  </w:style>
  <w:style w:type="paragraph" w:customStyle="1" w:styleId="LDP1a">
    <w:name w:val="LDP1(a)"/>
    <w:basedOn w:val="LDClause"/>
    <w:link w:val="LDP1aChar"/>
    <w:rsid w:val="00B33D38"/>
    <w:pPr>
      <w:tabs>
        <w:tab w:val="clear" w:pos="454"/>
        <w:tab w:val="clear" w:pos="737"/>
        <w:tab w:val="left" w:pos="1191"/>
      </w:tabs>
      <w:ind w:left="1191" w:hanging="454"/>
    </w:pPr>
  </w:style>
  <w:style w:type="character" w:customStyle="1" w:styleId="LDP1aChar">
    <w:name w:val="LDP1(a) Char"/>
    <w:link w:val="LDP1a"/>
    <w:locked/>
    <w:rsid w:val="00B33D38"/>
    <w:rPr>
      <w:rFonts w:ascii="Times New Roman" w:eastAsia="Times New Roman" w:hAnsi="Times New Roman" w:cs="Times New Roman"/>
      <w:sz w:val="24"/>
      <w:szCs w:val="24"/>
      <w:lang w:val="en-AU"/>
    </w:rPr>
  </w:style>
  <w:style w:type="paragraph" w:customStyle="1" w:styleId="LDquery">
    <w:name w:val="LDquery"/>
    <w:basedOn w:val="LDClause"/>
    <w:rsid w:val="00115055"/>
    <w:rPr>
      <w:b/>
      <w:i/>
    </w:rPr>
  </w:style>
  <w:style w:type="paragraph" w:customStyle="1" w:styleId="TableParagraph">
    <w:name w:val="Table Paragraph"/>
    <w:basedOn w:val="Normal"/>
    <w:uiPriority w:val="1"/>
    <w:qFormat/>
    <w:rsid w:val="00E1020E"/>
    <w:pPr>
      <w:widowControl w:val="0"/>
      <w:autoSpaceDE w:val="0"/>
      <w:autoSpaceDN w:val="0"/>
      <w:spacing w:line="240" w:lineRule="auto"/>
    </w:pPr>
    <w:rPr>
      <w:rFonts w:ascii="Arial" w:eastAsia="Arial" w:hAnsi="Arial" w:cs="Arial"/>
      <w:sz w:val="22"/>
    </w:rPr>
  </w:style>
  <w:style w:type="paragraph" w:customStyle="1" w:styleId="pf0">
    <w:name w:val="pf0"/>
    <w:basedOn w:val="Normal"/>
    <w:rsid w:val="005E4940"/>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paragraph" w:styleId="EndnoteText">
    <w:name w:val="endnote text"/>
    <w:basedOn w:val="Normal"/>
    <w:link w:val="EndnoteTextChar"/>
    <w:uiPriority w:val="99"/>
    <w:semiHidden/>
    <w:unhideWhenUsed/>
    <w:rsid w:val="00CE3A1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E3A1A"/>
    <w:rPr>
      <w:sz w:val="20"/>
      <w:szCs w:val="20"/>
      <w:lang w:val="en-GB"/>
    </w:rPr>
  </w:style>
  <w:style w:type="character" w:styleId="EndnoteReference">
    <w:name w:val="endnote reference"/>
    <w:basedOn w:val="DefaultParagraphFont"/>
    <w:uiPriority w:val="99"/>
    <w:semiHidden/>
    <w:unhideWhenUsed/>
    <w:rsid w:val="00CE3A1A"/>
    <w:rPr>
      <w:vertAlign w:val="superscript"/>
    </w:rPr>
  </w:style>
  <w:style w:type="character" w:styleId="UnresolvedMention">
    <w:name w:val="Unresolved Mention"/>
    <w:basedOn w:val="DefaultParagraphFont"/>
    <w:uiPriority w:val="99"/>
    <w:semiHidden/>
    <w:unhideWhenUsed/>
    <w:rsid w:val="00DA112B"/>
    <w:rPr>
      <w:color w:val="605E5C"/>
      <w:shd w:val="clear" w:color="auto" w:fill="E1DFDD"/>
    </w:rPr>
  </w:style>
  <w:style w:type="character" w:styleId="Strong">
    <w:name w:val="Strong"/>
    <w:basedOn w:val="DefaultParagraphFont"/>
    <w:uiPriority w:val="22"/>
    <w:qFormat/>
    <w:rsid w:val="006F40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191523">
      <w:bodyDiv w:val="1"/>
      <w:marLeft w:val="0"/>
      <w:marRight w:val="0"/>
      <w:marTop w:val="0"/>
      <w:marBottom w:val="0"/>
      <w:divBdr>
        <w:top w:val="none" w:sz="0" w:space="0" w:color="auto"/>
        <w:left w:val="none" w:sz="0" w:space="0" w:color="auto"/>
        <w:bottom w:val="none" w:sz="0" w:space="0" w:color="auto"/>
        <w:right w:val="none" w:sz="0" w:space="0" w:color="auto"/>
      </w:divBdr>
    </w:div>
    <w:div w:id="483395660">
      <w:bodyDiv w:val="1"/>
      <w:marLeft w:val="0"/>
      <w:marRight w:val="0"/>
      <w:marTop w:val="0"/>
      <w:marBottom w:val="0"/>
      <w:divBdr>
        <w:top w:val="none" w:sz="0" w:space="0" w:color="auto"/>
        <w:left w:val="none" w:sz="0" w:space="0" w:color="auto"/>
        <w:bottom w:val="none" w:sz="0" w:space="0" w:color="auto"/>
        <w:right w:val="none" w:sz="0" w:space="0" w:color="auto"/>
      </w:divBdr>
    </w:div>
    <w:div w:id="572007661">
      <w:bodyDiv w:val="1"/>
      <w:marLeft w:val="0"/>
      <w:marRight w:val="0"/>
      <w:marTop w:val="0"/>
      <w:marBottom w:val="0"/>
      <w:divBdr>
        <w:top w:val="none" w:sz="0" w:space="0" w:color="auto"/>
        <w:left w:val="none" w:sz="0" w:space="0" w:color="auto"/>
        <w:bottom w:val="none" w:sz="0" w:space="0" w:color="auto"/>
        <w:right w:val="none" w:sz="0" w:space="0" w:color="auto"/>
      </w:divBdr>
    </w:div>
    <w:div w:id="656031441">
      <w:bodyDiv w:val="1"/>
      <w:marLeft w:val="0"/>
      <w:marRight w:val="0"/>
      <w:marTop w:val="0"/>
      <w:marBottom w:val="0"/>
      <w:divBdr>
        <w:top w:val="none" w:sz="0" w:space="0" w:color="auto"/>
        <w:left w:val="none" w:sz="0" w:space="0" w:color="auto"/>
        <w:bottom w:val="none" w:sz="0" w:space="0" w:color="auto"/>
        <w:right w:val="none" w:sz="0" w:space="0" w:color="auto"/>
      </w:divBdr>
    </w:div>
    <w:div w:id="751777839">
      <w:bodyDiv w:val="1"/>
      <w:marLeft w:val="0"/>
      <w:marRight w:val="0"/>
      <w:marTop w:val="0"/>
      <w:marBottom w:val="0"/>
      <w:divBdr>
        <w:top w:val="none" w:sz="0" w:space="0" w:color="auto"/>
        <w:left w:val="none" w:sz="0" w:space="0" w:color="auto"/>
        <w:bottom w:val="none" w:sz="0" w:space="0" w:color="auto"/>
        <w:right w:val="none" w:sz="0" w:space="0" w:color="auto"/>
      </w:divBdr>
    </w:div>
    <w:div w:id="780993662">
      <w:bodyDiv w:val="1"/>
      <w:marLeft w:val="0"/>
      <w:marRight w:val="0"/>
      <w:marTop w:val="0"/>
      <w:marBottom w:val="0"/>
      <w:divBdr>
        <w:top w:val="none" w:sz="0" w:space="0" w:color="auto"/>
        <w:left w:val="none" w:sz="0" w:space="0" w:color="auto"/>
        <w:bottom w:val="none" w:sz="0" w:space="0" w:color="auto"/>
        <w:right w:val="none" w:sz="0" w:space="0" w:color="auto"/>
      </w:divBdr>
    </w:div>
    <w:div w:id="901255993">
      <w:bodyDiv w:val="1"/>
      <w:marLeft w:val="0"/>
      <w:marRight w:val="0"/>
      <w:marTop w:val="0"/>
      <w:marBottom w:val="0"/>
      <w:divBdr>
        <w:top w:val="none" w:sz="0" w:space="0" w:color="auto"/>
        <w:left w:val="none" w:sz="0" w:space="0" w:color="auto"/>
        <w:bottom w:val="none" w:sz="0" w:space="0" w:color="auto"/>
        <w:right w:val="none" w:sz="0" w:space="0" w:color="auto"/>
      </w:divBdr>
    </w:div>
    <w:div w:id="1060590864">
      <w:bodyDiv w:val="1"/>
      <w:marLeft w:val="0"/>
      <w:marRight w:val="0"/>
      <w:marTop w:val="0"/>
      <w:marBottom w:val="0"/>
      <w:divBdr>
        <w:top w:val="none" w:sz="0" w:space="0" w:color="auto"/>
        <w:left w:val="none" w:sz="0" w:space="0" w:color="auto"/>
        <w:bottom w:val="none" w:sz="0" w:space="0" w:color="auto"/>
        <w:right w:val="none" w:sz="0" w:space="0" w:color="auto"/>
      </w:divBdr>
    </w:div>
    <w:div w:id="1080910400">
      <w:bodyDiv w:val="1"/>
      <w:marLeft w:val="0"/>
      <w:marRight w:val="0"/>
      <w:marTop w:val="0"/>
      <w:marBottom w:val="0"/>
      <w:divBdr>
        <w:top w:val="none" w:sz="0" w:space="0" w:color="auto"/>
        <w:left w:val="none" w:sz="0" w:space="0" w:color="auto"/>
        <w:bottom w:val="none" w:sz="0" w:space="0" w:color="auto"/>
        <w:right w:val="none" w:sz="0" w:space="0" w:color="auto"/>
      </w:divBdr>
    </w:div>
    <w:div w:id="1144934097">
      <w:bodyDiv w:val="1"/>
      <w:marLeft w:val="0"/>
      <w:marRight w:val="0"/>
      <w:marTop w:val="0"/>
      <w:marBottom w:val="0"/>
      <w:divBdr>
        <w:top w:val="none" w:sz="0" w:space="0" w:color="auto"/>
        <w:left w:val="none" w:sz="0" w:space="0" w:color="auto"/>
        <w:bottom w:val="none" w:sz="0" w:space="0" w:color="auto"/>
        <w:right w:val="none" w:sz="0" w:space="0" w:color="auto"/>
      </w:divBdr>
    </w:div>
    <w:div w:id="1153066694">
      <w:bodyDiv w:val="1"/>
      <w:marLeft w:val="0"/>
      <w:marRight w:val="0"/>
      <w:marTop w:val="0"/>
      <w:marBottom w:val="0"/>
      <w:divBdr>
        <w:top w:val="none" w:sz="0" w:space="0" w:color="auto"/>
        <w:left w:val="none" w:sz="0" w:space="0" w:color="auto"/>
        <w:bottom w:val="none" w:sz="0" w:space="0" w:color="auto"/>
        <w:right w:val="none" w:sz="0" w:space="0" w:color="auto"/>
      </w:divBdr>
    </w:div>
    <w:div w:id="1153910747">
      <w:bodyDiv w:val="1"/>
      <w:marLeft w:val="0"/>
      <w:marRight w:val="0"/>
      <w:marTop w:val="0"/>
      <w:marBottom w:val="0"/>
      <w:divBdr>
        <w:top w:val="none" w:sz="0" w:space="0" w:color="auto"/>
        <w:left w:val="none" w:sz="0" w:space="0" w:color="auto"/>
        <w:bottom w:val="none" w:sz="0" w:space="0" w:color="auto"/>
        <w:right w:val="none" w:sz="0" w:space="0" w:color="auto"/>
      </w:divBdr>
    </w:div>
    <w:div w:id="1183397160">
      <w:bodyDiv w:val="1"/>
      <w:marLeft w:val="0"/>
      <w:marRight w:val="0"/>
      <w:marTop w:val="0"/>
      <w:marBottom w:val="0"/>
      <w:divBdr>
        <w:top w:val="none" w:sz="0" w:space="0" w:color="auto"/>
        <w:left w:val="none" w:sz="0" w:space="0" w:color="auto"/>
        <w:bottom w:val="none" w:sz="0" w:space="0" w:color="auto"/>
        <w:right w:val="none" w:sz="0" w:space="0" w:color="auto"/>
      </w:divBdr>
    </w:div>
    <w:div w:id="1528256238">
      <w:bodyDiv w:val="1"/>
      <w:marLeft w:val="0"/>
      <w:marRight w:val="0"/>
      <w:marTop w:val="0"/>
      <w:marBottom w:val="0"/>
      <w:divBdr>
        <w:top w:val="none" w:sz="0" w:space="0" w:color="auto"/>
        <w:left w:val="none" w:sz="0" w:space="0" w:color="auto"/>
        <w:bottom w:val="none" w:sz="0" w:space="0" w:color="auto"/>
        <w:right w:val="none" w:sz="0" w:space="0" w:color="auto"/>
      </w:divBdr>
    </w:div>
    <w:div w:id="1603369735">
      <w:bodyDiv w:val="1"/>
      <w:marLeft w:val="0"/>
      <w:marRight w:val="0"/>
      <w:marTop w:val="0"/>
      <w:marBottom w:val="0"/>
      <w:divBdr>
        <w:top w:val="none" w:sz="0" w:space="0" w:color="auto"/>
        <w:left w:val="none" w:sz="0" w:space="0" w:color="auto"/>
        <w:bottom w:val="none" w:sz="0" w:space="0" w:color="auto"/>
        <w:right w:val="none" w:sz="0" w:space="0" w:color="auto"/>
      </w:divBdr>
    </w:div>
    <w:div w:id="1754931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6.jpeg"/><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5.jpeg"/><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image" Target="media/image8.jpeg"/><Relationship Id="rId36" Type="http://schemas.openxmlformats.org/officeDocument/2006/relationships/header" Target="header15.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image" Target="media/image7.jpeg"/><Relationship Id="rId30" Type="http://schemas.openxmlformats.org/officeDocument/2006/relationships/image" Target="media/image10.jpeg"/><Relationship Id="rId35" Type="http://schemas.openxmlformats.org/officeDocument/2006/relationships/header" Target="header14.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_Documents\Download\Gxxxx%20Template%20for%20IALA%20Guidelines%20Ed%202.1%20August%202021.dotm"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5F005-A15E-4C5D-B64F-D583298E2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3.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E94FC7F2-7D3E-44B8-B30F-47D5D081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79</TotalTime>
  <Pages>33</Pages>
  <Words>10014</Words>
  <Characters>57086</Characters>
  <Application>Microsoft Office Word</Application>
  <DocSecurity>0</DocSecurity>
  <Lines>475</Lines>
  <Paragraphs>133</Paragraphs>
  <ScaleCrop>false</ScaleCrop>
  <HeadingPairs>
    <vt:vector size="12" baseType="variant">
      <vt:variant>
        <vt:lpstr>Title</vt:lpstr>
      </vt:variant>
      <vt:variant>
        <vt:i4>1</vt:i4>
      </vt:variant>
      <vt:variant>
        <vt:lpstr>Rubrik</vt:lpstr>
      </vt:variant>
      <vt:variant>
        <vt:i4>1</vt:i4>
      </vt:variant>
      <vt:variant>
        <vt:lpstr>Titolo</vt:lpstr>
      </vt:variant>
      <vt:variant>
        <vt:i4>1</vt:i4>
      </vt:variant>
      <vt:variant>
        <vt:lpstr>Tittel</vt:lpstr>
      </vt:variant>
      <vt:variant>
        <vt:i4>1</vt:i4>
      </vt:variant>
      <vt:variant>
        <vt:lpstr>Titel</vt:lpstr>
      </vt:variant>
      <vt:variant>
        <vt:i4>1</vt:i4>
      </vt:variant>
      <vt:variant>
        <vt:lpstr>Titre</vt:lpstr>
      </vt:variant>
      <vt:variant>
        <vt:i4>1</vt:i4>
      </vt:variant>
    </vt:vector>
  </HeadingPairs>
  <TitlesOfParts>
    <vt:vector size="6" baseType="lpstr">
      <vt:lpstr>IALA Guideline Macro Enabled Template</vt:lpstr>
      <vt:lpstr>IALA Guideline Macro Enabled Template</vt:lpstr>
      <vt:lpstr>IALA Guideline Macro Enabled Template</vt:lpstr>
      <vt:lpstr>IALA Guideline Macro Enabled Template</vt:lpstr>
      <vt:lpstr>IALA Guideline Macro Enabled Template</vt:lpstr>
      <vt:lpstr>IALA Guideline 1115</vt:lpstr>
    </vt:vector>
  </TitlesOfParts>
  <Manager>IALA</Manager>
  <Company>IALA</Company>
  <LinksUpToDate>false</LinksUpToDate>
  <CharactersWithSpaces>66967</CharactersWithSpaces>
  <SharedDoc>false</SharedDoc>
  <HyperlinkBase/>
  <HLinks>
    <vt:vector size="162" baseType="variant">
      <vt:variant>
        <vt:i4>1245237</vt:i4>
      </vt:variant>
      <vt:variant>
        <vt:i4>158</vt:i4>
      </vt:variant>
      <vt:variant>
        <vt:i4>0</vt:i4>
      </vt:variant>
      <vt:variant>
        <vt:i4>5</vt:i4>
      </vt:variant>
      <vt:variant>
        <vt:lpwstr/>
      </vt:variant>
      <vt:variant>
        <vt:lpwstr>_Toc153354263</vt:lpwstr>
      </vt:variant>
      <vt:variant>
        <vt:i4>1245237</vt:i4>
      </vt:variant>
      <vt:variant>
        <vt:i4>152</vt:i4>
      </vt:variant>
      <vt:variant>
        <vt:i4>0</vt:i4>
      </vt:variant>
      <vt:variant>
        <vt:i4>5</vt:i4>
      </vt:variant>
      <vt:variant>
        <vt:lpwstr/>
      </vt:variant>
      <vt:variant>
        <vt:lpwstr>_Toc153354262</vt:lpwstr>
      </vt:variant>
      <vt:variant>
        <vt:i4>1245237</vt:i4>
      </vt:variant>
      <vt:variant>
        <vt:i4>146</vt:i4>
      </vt:variant>
      <vt:variant>
        <vt:i4>0</vt:i4>
      </vt:variant>
      <vt:variant>
        <vt:i4>5</vt:i4>
      </vt:variant>
      <vt:variant>
        <vt:lpwstr/>
      </vt:variant>
      <vt:variant>
        <vt:lpwstr>_Toc153354261</vt:lpwstr>
      </vt:variant>
      <vt:variant>
        <vt:i4>1245237</vt:i4>
      </vt:variant>
      <vt:variant>
        <vt:i4>140</vt:i4>
      </vt:variant>
      <vt:variant>
        <vt:i4>0</vt:i4>
      </vt:variant>
      <vt:variant>
        <vt:i4>5</vt:i4>
      </vt:variant>
      <vt:variant>
        <vt:lpwstr/>
      </vt:variant>
      <vt:variant>
        <vt:lpwstr>_Toc153354260</vt:lpwstr>
      </vt:variant>
      <vt:variant>
        <vt:i4>1048629</vt:i4>
      </vt:variant>
      <vt:variant>
        <vt:i4>134</vt:i4>
      </vt:variant>
      <vt:variant>
        <vt:i4>0</vt:i4>
      </vt:variant>
      <vt:variant>
        <vt:i4>5</vt:i4>
      </vt:variant>
      <vt:variant>
        <vt:lpwstr/>
      </vt:variant>
      <vt:variant>
        <vt:lpwstr>_Toc153354259</vt:lpwstr>
      </vt:variant>
      <vt:variant>
        <vt:i4>1048629</vt:i4>
      </vt:variant>
      <vt:variant>
        <vt:i4>128</vt:i4>
      </vt:variant>
      <vt:variant>
        <vt:i4>0</vt:i4>
      </vt:variant>
      <vt:variant>
        <vt:i4>5</vt:i4>
      </vt:variant>
      <vt:variant>
        <vt:lpwstr/>
      </vt:variant>
      <vt:variant>
        <vt:lpwstr>_Toc153354258</vt:lpwstr>
      </vt:variant>
      <vt:variant>
        <vt:i4>1048629</vt:i4>
      </vt:variant>
      <vt:variant>
        <vt:i4>122</vt:i4>
      </vt:variant>
      <vt:variant>
        <vt:i4>0</vt:i4>
      </vt:variant>
      <vt:variant>
        <vt:i4>5</vt:i4>
      </vt:variant>
      <vt:variant>
        <vt:lpwstr/>
      </vt:variant>
      <vt:variant>
        <vt:lpwstr>_Toc153354257</vt:lpwstr>
      </vt:variant>
      <vt:variant>
        <vt:i4>1048629</vt:i4>
      </vt:variant>
      <vt:variant>
        <vt:i4>116</vt:i4>
      </vt:variant>
      <vt:variant>
        <vt:i4>0</vt:i4>
      </vt:variant>
      <vt:variant>
        <vt:i4>5</vt:i4>
      </vt:variant>
      <vt:variant>
        <vt:lpwstr/>
      </vt:variant>
      <vt:variant>
        <vt:lpwstr>_Toc153354256</vt:lpwstr>
      </vt:variant>
      <vt:variant>
        <vt:i4>1048629</vt:i4>
      </vt:variant>
      <vt:variant>
        <vt:i4>110</vt:i4>
      </vt:variant>
      <vt:variant>
        <vt:i4>0</vt:i4>
      </vt:variant>
      <vt:variant>
        <vt:i4>5</vt:i4>
      </vt:variant>
      <vt:variant>
        <vt:lpwstr/>
      </vt:variant>
      <vt:variant>
        <vt:lpwstr>_Toc153354255</vt:lpwstr>
      </vt:variant>
      <vt:variant>
        <vt:i4>1048629</vt:i4>
      </vt:variant>
      <vt:variant>
        <vt:i4>104</vt:i4>
      </vt:variant>
      <vt:variant>
        <vt:i4>0</vt:i4>
      </vt:variant>
      <vt:variant>
        <vt:i4>5</vt:i4>
      </vt:variant>
      <vt:variant>
        <vt:lpwstr/>
      </vt:variant>
      <vt:variant>
        <vt:lpwstr>_Toc153354254</vt:lpwstr>
      </vt:variant>
      <vt:variant>
        <vt:i4>1048629</vt:i4>
      </vt:variant>
      <vt:variant>
        <vt:i4>98</vt:i4>
      </vt:variant>
      <vt:variant>
        <vt:i4>0</vt:i4>
      </vt:variant>
      <vt:variant>
        <vt:i4>5</vt:i4>
      </vt:variant>
      <vt:variant>
        <vt:lpwstr/>
      </vt:variant>
      <vt:variant>
        <vt:lpwstr>_Toc153354253</vt:lpwstr>
      </vt:variant>
      <vt:variant>
        <vt:i4>1048629</vt:i4>
      </vt:variant>
      <vt:variant>
        <vt:i4>92</vt:i4>
      </vt:variant>
      <vt:variant>
        <vt:i4>0</vt:i4>
      </vt:variant>
      <vt:variant>
        <vt:i4>5</vt:i4>
      </vt:variant>
      <vt:variant>
        <vt:lpwstr/>
      </vt:variant>
      <vt:variant>
        <vt:lpwstr>_Toc153354252</vt:lpwstr>
      </vt:variant>
      <vt:variant>
        <vt:i4>1048629</vt:i4>
      </vt:variant>
      <vt:variant>
        <vt:i4>86</vt:i4>
      </vt:variant>
      <vt:variant>
        <vt:i4>0</vt:i4>
      </vt:variant>
      <vt:variant>
        <vt:i4>5</vt:i4>
      </vt:variant>
      <vt:variant>
        <vt:lpwstr/>
      </vt:variant>
      <vt:variant>
        <vt:lpwstr>_Toc153354251</vt:lpwstr>
      </vt:variant>
      <vt:variant>
        <vt:i4>1048629</vt:i4>
      </vt:variant>
      <vt:variant>
        <vt:i4>80</vt:i4>
      </vt:variant>
      <vt:variant>
        <vt:i4>0</vt:i4>
      </vt:variant>
      <vt:variant>
        <vt:i4>5</vt:i4>
      </vt:variant>
      <vt:variant>
        <vt:lpwstr/>
      </vt:variant>
      <vt:variant>
        <vt:lpwstr>_Toc153354250</vt:lpwstr>
      </vt:variant>
      <vt:variant>
        <vt:i4>1114165</vt:i4>
      </vt:variant>
      <vt:variant>
        <vt:i4>74</vt:i4>
      </vt:variant>
      <vt:variant>
        <vt:i4>0</vt:i4>
      </vt:variant>
      <vt:variant>
        <vt:i4>5</vt:i4>
      </vt:variant>
      <vt:variant>
        <vt:lpwstr/>
      </vt:variant>
      <vt:variant>
        <vt:lpwstr>_Toc153354249</vt:lpwstr>
      </vt:variant>
      <vt:variant>
        <vt:i4>1114165</vt:i4>
      </vt:variant>
      <vt:variant>
        <vt:i4>68</vt:i4>
      </vt:variant>
      <vt:variant>
        <vt:i4>0</vt:i4>
      </vt:variant>
      <vt:variant>
        <vt:i4>5</vt:i4>
      </vt:variant>
      <vt:variant>
        <vt:lpwstr/>
      </vt:variant>
      <vt:variant>
        <vt:lpwstr>_Toc153354248</vt:lpwstr>
      </vt:variant>
      <vt:variant>
        <vt:i4>1114165</vt:i4>
      </vt:variant>
      <vt:variant>
        <vt:i4>62</vt:i4>
      </vt:variant>
      <vt:variant>
        <vt:i4>0</vt:i4>
      </vt:variant>
      <vt:variant>
        <vt:i4>5</vt:i4>
      </vt:variant>
      <vt:variant>
        <vt:lpwstr/>
      </vt:variant>
      <vt:variant>
        <vt:lpwstr>_Toc153354247</vt:lpwstr>
      </vt:variant>
      <vt:variant>
        <vt:i4>1114165</vt:i4>
      </vt:variant>
      <vt:variant>
        <vt:i4>56</vt:i4>
      </vt:variant>
      <vt:variant>
        <vt:i4>0</vt:i4>
      </vt:variant>
      <vt:variant>
        <vt:i4>5</vt:i4>
      </vt:variant>
      <vt:variant>
        <vt:lpwstr/>
      </vt:variant>
      <vt:variant>
        <vt:lpwstr>_Toc153354246</vt:lpwstr>
      </vt:variant>
      <vt:variant>
        <vt:i4>1114165</vt:i4>
      </vt:variant>
      <vt:variant>
        <vt:i4>50</vt:i4>
      </vt:variant>
      <vt:variant>
        <vt:i4>0</vt:i4>
      </vt:variant>
      <vt:variant>
        <vt:i4>5</vt:i4>
      </vt:variant>
      <vt:variant>
        <vt:lpwstr/>
      </vt:variant>
      <vt:variant>
        <vt:lpwstr>_Toc153354245</vt:lpwstr>
      </vt:variant>
      <vt:variant>
        <vt:i4>1114165</vt:i4>
      </vt:variant>
      <vt:variant>
        <vt:i4>44</vt:i4>
      </vt:variant>
      <vt:variant>
        <vt:i4>0</vt:i4>
      </vt:variant>
      <vt:variant>
        <vt:i4>5</vt:i4>
      </vt:variant>
      <vt:variant>
        <vt:lpwstr/>
      </vt:variant>
      <vt:variant>
        <vt:lpwstr>_Toc153354244</vt:lpwstr>
      </vt:variant>
      <vt:variant>
        <vt:i4>1114165</vt:i4>
      </vt:variant>
      <vt:variant>
        <vt:i4>38</vt:i4>
      </vt:variant>
      <vt:variant>
        <vt:i4>0</vt:i4>
      </vt:variant>
      <vt:variant>
        <vt:i4>5</vt:i4>
      </vt:variant>
      <vt:variant>
        <vt:lpwstr/>
      </vt:variant>
      <vt:variant>
        <vt:lpwstr>_Toc153354243</vt:lpwstr>
      </vt:variant>
      <vt:variant>
        <vt:i4>1114165</vt:i4>
      </vt:variant>
      <vt:variant>
        <vt:i4>32</vt:i4>
      </vt:variant>
      <vt:variant>
        <vt:i4>0</vt:i4>
      </vt:variant>
      <vt:variant>
        <vt:i4>5</vt:i4>
      </vt:variant>
      <vt:variant>
        <vt:lpwstr/>
      </vt:variant>
      <vt:variant>
        <vt:lpwstr>_Toc153354242</vt:lpwstr>
      </vt:variant>
      <vt:variant>
        <vt:i4>1114165</vt:i4>
      </vt:variant>
      <vt:variant>
        <vt:i4>26</vt:i4>
      </vt:variant>
      <vt:variant>
        <vt:i4>0</vt:i4>
      </vt:variant>
      <vt:variant>
        <vt:i4>5</vt:i4>
      </vt:variant>
      <vt:variant>
        <vt:lpwstr/>
      </vt:variant>
      <vt:variant>
        <vt:lpwstr>_Toc153354241</vt:lpwstr>
      </vt:variant>
      <vt:variant>
        <vt:i4>1114165</vt:i4>
      </vt:variant>
      <vt:variant>
        <vt:i4>20</vt:i4>
      </vt:variant>
      <vt:variant>
        <vt:i4>0</vt:i4>
      </vt:variant>
      <vt:variant>
        <vt:i4>5</vt:i4>
      </vt:variant>
      <vt:variant>
        <vt:lpwstr/>
      </vt:variant>
      <vt:variant>
        <vt:lpwstr>_Toc153354240</vt:lpwstr>
      </vt:variant>
      <vt:variant>
        <vt:i4>1441845</vt:i4>
      </vt:variant>
      <vt:variant>
        <vt:i4>14</vt:i4>
      </vt:variant>
      <vt:variant>
        <vt:i4>0</vt:i4>
      </vt:variant>
      <vt:variant>
        <vt:i4>5</vt:i4>
      </vt:variant>
      <vt:variant>
        <vt:lpwstr/>
      </vt:variant>
      <vt:variant>
        <vt:lpwstr>_Toc153354239</vt:lpwstr>
      </vt:variant>
      <vt:variant>
        <vt:i4>1441845</vt:i4>
      </vt:variant>
      <vt:variant>
        <vt:i4>8</vt:i4>
      </vt:variant>
      <vt:variant>
        <vt:i4>0</vt:i4>
      </vt:variant>
      <vt:variant>
        <vt:i4>5</vt:i4>
      </vt:variant>
      <vt:variant>
        <vt:lpwstr/>
      </vt:variant>
      <vt:variant>
        <vt:lpwstr>_Toc153354238</vt:lpwstr>
      </vt:variant>
      <vt:variant>
        <vt:i4>1441845</vt:i4>
      </vt:variant>
      <vt:variant>
        <vt:i4>2</vt:i4>
      </vt:variant>
      <vt:variant>
        <vt:i4>0</vt:i4>
      </vt:variant>
      <vt:variant>
        <vt:i4>5</vt:i4>
      </vt:variant>
      <vt:variant>
        <vt:lpwstr/>
      </vt:variant>
      <vt:variant>
        <vt:lpwstr>_Toc153354237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Macro Enabled Template</dc:title>
  <dc:subject>IALA</dc:subject>
  <dc:creator>Omar Frits Eriksson</dc:creator>
  <cp:keywords/>
  <dc:description/>
  <cp:lastModifiedBy>Neil Trainor</cp:lastModifiedBy>
  <cp:revision>19</cp:revision>
  <cp:lastPrinted>2026-08-07T01:40:00Z</cp:lastPrinted>
  <dcterms:created xsi:type="dcterms:W3CDTF">2026-08-19T02:29:00Z</dcterms:created>
  <dcterms:modified xsi:type="dcterms:W3CDTF">2026-08-19T02:50:00Z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5" name="MSIP_Label_c8b443ca-c1bb-4c68-942c-da1c759dcae1_Enabled">
    <vt:lpwstr>true</vt:lpwstr>
  </property>
  <property fmtid="{D5CDD505-2E9C-101B-9397-08002B2CF9AE}" pid="6" name="MSIP_Label_c8b443ca-c1bb-4c68-942c-da1c759dcae1_SetDate">
    <vt:lpwstr>2023-09-20T13:11:03Z</vt:lpwstr>
  </property>
  <property fmtid="{D5CDD505-2E9C-101B-9397-08002B2CF9AE}" pid="7" name="MSIP_Label_c8b443ca-c1bb-4c68-942c-da1c759dcae1_Method">
    <vt:lpwstr>Standard</vt:lpwstr>
  </property>
  <property fmtid="{D5CDD505-2E9C-101B-9397-08002B2CF9AE}" pid="8" name="MSIP_Label_c8b443ca-c1bb-4c68-942c-da1c759dcae1_Name">
    <vt:lpwstr>c8b443ca-c1bb-4c68-942c-da1c759dcae1</vt:lpwstr>
  </property>
  <property fmtid="{D5CDD505-2E9C-101B-9397-08002B2CF9AE}" pid="9" name="MSIP_Label_c8b443ca-c1bb-4c68-942c-da1c759dcae1_SiteId">
    <vt:lpwstr>3fd408b5-82e6-4dc0-a36c-6e2aa815db3e</vt:lpwstr>
  </property>
  <property fmtid="{D5CDD505-2E9C-101B-9397-08002B2CF9AE}" pid="10" name="MSIP_Label_c8b443ca-c1bb-4c68-942c-da1c759dcae1_ActionId">
    <vt:lpwstr>a4aa325f-04e2-427f-913c-6671132aaa49</vt:lpwstr>
  </property>
  <property fmtid="{D5CDD505-2E9C-101B-9397-08002B2CF9AE}" pid="11" name="MSIP_Label_c8b443ca-c1bb-4c68-942c-da1c759dcae1_ContentBits">
    <vt:lpwstr>0</vt:lpwstr>
  </property>
</Properties>
</file>